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519"/>
        <w:gridCol w:w="1275"/>
        <w:gridCol w:w="1276"/>
        <w:gridCol w:w="1195"/>
      </w:tblGrid>
      <w:tr w:rsidR="00823CD3" w14:paraId="682EDFF3" w14:textId="77777777" w:rsidTr="00FF4AE6">
        <w:trPr>
          <w:trHeight w:val="463"/>
          <w:jc w:val="center"/>
        </w:trPr>
        <w:tc>
          <w:tcPr>
            <w:tcW w:w="1980" w:type="dxa"/>
            <w:vAlign w:val="center"/>
          </w:tcPr>
          <w:p w14:paraId="43414104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265" w:type="dxa"/>
            <w:gridSpan w:val="4"/>
          </w:tcPr>
          <w:p w14:paraId="39680FB2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823CD3" w14:paraId="368A8E56" w14:textId="77777777" w:rsidTr="00FF4AE6">
        <w:trPr>
          <w:trHeight w:val="468"/>
          <w:jc w:val="center"/>
        </w:trPr>
        <w:tc>
          <w:tcPr>
            <w:tcW w:w="1980" w:type="dxa"/>
            <w:vAlign w:val="center"/>
          </w:tcPr>
          <w:p w14:paraId="695267A2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4519" w:type="dxa"/>
            <w:vAlign w:val="center"/>
          </w:tcPr>
          <w:p w14:paraId="195EA372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B10DFA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vAlign w:val="center"/>
          </w:tcPr>
          <w:p w14:paraId="49720730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823CD3" w14:paraId="4D12E4C0" w14:textId="77777777" w:rsidTr="00FF4AE6">
        <w:trPr>
          <w:trHeight w:val="447"/>
          <w:jc w:val="center"/>
        </w:trPr>
        <w:tc>
          <w:tcPr>
            <w:tcW w:w="1980" w:type="dxa"/>
            <w:vAlign w:val="center"/>
          </w:tcPr>
          <w:p w14:paraId="7C83412C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4519" w:type="dxa"/>
            <w:vAlign w:val="center"/>
          </w:tcPr>
          <w:p w14:paraId="52681D35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7F356D91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</w:tcPr>
          <w:p w14:paraId="3FB9426C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195" w:type="dxa"/>
            <w:vAlign w:val="center"/>
          </w:tcPr>
          <w:p w14:paraId="4135EEB1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823CD3" w14:paraId="32298FE2" w14:textId="77777777" w:rsidTr="00FF4AE6">
        <w:trPr>
          <w:trHeight w:val="429"/>
          <w:jc w:val="center"/>
        </w:trPr>
        <w:tc>
          <w:tcPr>
            <w:tcW w:w="1980" w:type="dxa"/>
            <w:vAlign w:val="center"/>
          </w:tcPr>
          <w:p w14:paraId="68DE7B87" w14:textId="77777777" w:rsidR="00823CD3" w:rsidRDefault="00823CD3" w:rsidP="00FF4AE6">
            <w:pPr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铁泥干燥设备</w:t>
            </w:r>
            <w:proofErr w:type="gramEnd"/>
          </w:p>
        </w:tc>
        <w:tc>
          <w:tcPr>
            <w:tcW w:w="4519" w:type="dxa"/>
            <w:vAlign w:val="center"/>
          </w:tcPr>
          <w:p w14:paraId="3A35EBD2" w14:textId="77777777" w:rsidR="00823CD3" w:rsidRDefault="00823CD3" w:rsidP="00FF4AE6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A4A1D8" w14:textId="77777777" w:rsidR="00823CD3" w:rsidRDefault="00823CD3" w:rsidP="00FF4AE6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套</w:t>
            </w:r>
          </w:p>
        </w:tc>
        <w:tc>
          <w:tcPr>
            <w:tcW w:w="1276" w:type="dxa"/>
            <w:vAlign w:val="center"/>
          </w:tcPr>
          <w:p w14:paraId="63E1AB0A" w14:textId="77777777" w:rsidR="00823CD3" w:rsidRDefault="00823CD3" w:rsidP="00FF4A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1195" w:type="dxa"/>
            <w:vAlign w:val="center"/>
          </w:tcPr>
          <w:p w14:paraId="636B9B16" w14:textId="77777777" w:rsidR="00823CD3" w:rsidRDefault="00823CD3" w:rsidP="00FF4AE6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 w14:paraId="7F81925C" w14:textId="77777777" w:rsidR="00823CD3" w:rsidRDefault="00823CD3" w:rsidP="00823CD3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28D8DBA5" w14:textId="77777777" w:rsidR="00823CD3" w:rsidRDefault="00823CD3" w:rsidP="00823CD3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一、日处理40吨湿基，含自然水40%~45%，为压滤饼状态。</w:t>
      </w:r>
      <w:proofErr w:type="gramStart"/>
      <w:r>
        <w:rPr>
          <w:rFonts w:hint="eastAsia"/>
          <w:sz w:val="28"/>
          <w:szCs w:val="28"/>
        </w:rPr>
        <w:t>湿铁泥中</w:t>
      </w:r>
      <w:proofErr w:type="gramEnd"/>
      <w:r>
        <w:rPr>
          <w:rFonts w:hint="eastAsia"/>
          <w:sz w:val="28"/>
          <w:szCs w:val="28"/>
        </w:rPr>
        <w:t xml:space="preserve">含硫酸根，以硫计含硫约5%。 </w:t>
      </w:r>
    </w:p>
    <w:p w14:paraId="226F051C" w14:textId="77777777" w:rsidR="00823CD3" w:rsidRDefault="00823CD3" w:rsidP="00823CD3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现有热源风压2000-2500Pa、烟气温度350度±20度。</w:t>
      </w:r>
    </w:p>
    <w:p w14:paraId="1823D78B" w14:textId="77777777" w:rsidR="00823CD3" w:rsidRDefault="00823CD3" w:rsidP="00823CD3">
      <w:pPr>
        <w:numPr>
          <w:ilvl w:val="0"/>
          <w:numId w:val="1"/>
        </w:numPr>
        <w:spacing w:line="540" w:lineRule="exact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要求干燥后物料含水5%-8%；颗粒状：3mm-10mm大于70%。</w:t>
      </w:r>
    </w:p>
    <w:p w14:paraId="3210B734" w14:textId="77777777" w:rsidR="00823CD3" w:rsidRDefault="00823CD3" w:rsidP="00823CD3">
      <w:pPr>
        <w:numPr>
          <w:ilvl w:val="0"/>
          <w:numId w:val="1"/>
        </w:numPr>
        <w:spacing w:line="540" w:lineRule="exact"/>
        <w:rPr>
          <w:rFonts w:eastAsia="宋体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经烘水后</w:t>
      </w:r>
      <w:proofErr w:type="gramEnd"/>
      <w:r>
        <w:rPr>
          <w:rFonts w:hint="eastAsia"/>
          <w:sz w:val="28"/>
          <w:szCs w:val="28"/>
        </w:rPr>
        <w:t>的尾气需配设收尘器处理后达标（颗粒物小于10mg/Nm3）鼓入脱硫系统（风压＞3000Pa)。</w:t>
      </w:r>
      <w:proofErr w:type="gramStart"/>
      <w:r>
        <w:rPr>
          <w:rFonts w:hint="eastAsia"/>
          <w:sz w:val="28"/>
          <w:szCs w:val="28"/>
        </w:rPr>
        <w:t>含引风机</w:t>
      </w:r>
      <w:proofErr w:type="gramEnd"/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输灰收灰成套</w:t>
      </w:r>
      <w:proofErr w:type="gramEnd"/>
      <w:r>
        <w:rPr>
          <w:rFonts w:hint="eastAsia"/>
          <w:sz w:val="28"/>
          <w:szCs w:val="28"/>
        </w:rPr>
        <w:t>装置。</w:t>
      </w:r>
    </w:p>
    <w:p w14:paraId="46511936" w14:textId="77777777" w:rsidR="00823CD3" w:rsidRDefault="00823CD3" w:rsidP="00823CD3">
      <w:pPr>
        <w:spacing w:line="540" w:lineRule="exact"/>
        <w:ind w:left="630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五、由投标单位依据上述条件进行设计，如有调整要注明或提前联系沟通。</w:t>
      </w:r>
    </w:p>
    <w:p w14:paraId="304105DC" w14:textId="77777777" w:rsidR="00823CD3" w:rsidRPr="00F811E7" w:rsidRDefault="00823CD3" w:rsidP="00823CD3">
      <w:pPr>
        <w:ind w:firstLineChars="200" w:firstLine="560"/>
        <w:rPr>
          <w:bCs/>
        </w:rPr>
      </w:pPr>
      <w:r w:rsidRPr="00F811E7">
        <w:rPr>
          <w:rFonts w:hint="eastAsia"/>
          <w:bCs/>
          <w:sz w:val="28"/>
        </w:rPr>
        <w:t>六、付款方式为银行电子承兑（半年期）</w:t>
      </w:r>
    </w:p>
    <w:p w14:paraId="6085101A" w14:textId="77777777" w:rsidR="00341B74" w:rsidRPr="00823CD3" w:rsidRDefault="002C1819"/>
    <w:sectPr w:rsidR="00341B74" w:rsidRPr="0082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C50E" w14:textId="77777777" w:rsidR="002C1819" w:rsidRDefault="002C1819" w:rsidP="00823CD3">
      <w:r>
        <w:separator/>
      </w:r>
    </w:p>
  </w:endnote>
  <w:endnote w:type="continuationSeparator" w:id="0">
    <w:p w14:paraId="2FE39E16" w14:textId="77777777" w:rsidR="002C1819" w:rsidRDefault="002C1819" w:rsidP="0082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FC01" w14:textId="77777777" w:rsidR="002C1819" w:rsidRDefault="002C1819" w:rsidP="00823CD3">
      <w:r>
        <w:separator/>
      </w:r>
    </w:p>
  </w:footnote>
  <w:footnote w:type="continuationSeparator" w:id="0">
    <w:p w14:paraId="6546180F" w14:textId="77777777" w:rsidR="002C1819" w:rsidRDefault="002C1819" w:rsidP="0082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3C318"/>
    <w:multiLevelType w:val="singleLevel"/>
    <w:tmpl w:val="4D03C318"/>
    <w:lvl w:ilvl="0">
      <w:start w:val="2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61"/>
    <w:rsid w:val="002C1819"/>
    <w:rsid w:val="0032479B"/>
    <w:rsid w:val="004214CB"/>
    <w:rsid w:val="00823CD3"/>
    <w:rsid w:val="00C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202F8-0DA3-4619-8B17-A1778042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2021-08-12T06:31:00Z</dcterms:created>
  <dcterms:modified xsi:type="dcterms:W3CDTF">2021-08-12T06:31:00Z</dcterms:modified>
</cp:coreProperties>
</file>