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3CEB" w14:textId="77777777" w:rsidR="00842337" w:rsidRDefault="00842337" w:rsidP="0084233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精煤购销合同</w:t>
      </w:r>
    </w:p>
    <w:p w14:paraId="211AC1DD" w14:textId="77777777" w:rsidR="00842337" w:rsidRDefault="00842337" w:rsidP="00842337">
      <w:pPr>
        <w:spacing w:line="440" w:lineRule="exact"/>
        <w:jc w:val="left"/>
        <w:rPr>
          <w:rFonts w:hint="eastAsia"/>
          <w:sz w:val="24"/>
          <w:szCs w:val="24"/>
        </w:rPr>
      </w:pPr>
    </w:p>
    <w:p w14:paraId="1A8C017F" w14:textId="77777777" w:rsidR="00842337" w:rsidRDefault="00842337" w:rsidP="00842337">
      <w:pPr>
        <w:spacing w:line="440" w:lineRule="exact"/>
        <w:ind w:left="4560" w:hangingChars="1900" w:hanging="45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签订地点：河南省安阳市龙安区岷山公司</w:t>
      </w:r>
    </w:p>
    <w:p w14:paraId="0822202F" w14:textId="77777777" w:rsidR="00842337" w:rsidRDefault="00842337" w:rsidP="00842337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203963A6" w14:textId="77777777" w:rsidR="00842337" w:rsidRDefault="00842337" w:rsidP="00842337">
      <w:pPr>
        <w:pStyle w:val="a0"/>
        <w:rPr>
          <w:rFonts w:hint="eastAsia"/>
          <w:sz w:val="24"/>
          <w:szCs w:val="24"/>
        </w:rPr>
      </w:pPr>
    </w:p>
    <w:p w14:paraId="54B09019" w14:textId="77777777" w:rsidR="00842337" w:rsidRDefault="00842337" w:rsidP="00842337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14950326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20%/</w:t>
      </w:r>
      <w:r>
        <w:rPr>
          <w:rFonts w:hint="eastAsia"/>
          <w:sz w:val="24"/>
          <w:szCs w:val="24"/>
        </w:rPr>
        <w:t>月</w:t>
      </w:r>
    </w:p>
    <w:p w14:paraId="33A68A25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144"/>
        <w:gridCol w:w="1574"/>
        <w:gridCol w:w="901"/>
        <w:gridCol w:w="946"/>
        <w:gridCol w:w="1102"/>
        <w:gridCol w:w="1070"/>
        <w:gridCol w:w="1187"/>
      </w:tblGrid>
      <w:tr w:rsidR="00842337" w14:paraId="426ED7FC" w14:textId="77777777" w:rsidTr="00DA34FC">
        <w:trPr>
          <w:trHeight w:val="863"/>
          <w:jc w:val="center"/>
        </w:trPr>
        <w:tc>
          <w:tcPr>
            <w:tcW w:w="1232" w:type="dxa"/>
          </w:tcPr>
          <w:p w14:paraId="170E6FE8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144" w:type="dxa"/>
          </w:tcPr>
          <w:p w14:paraId="1FE7CF2E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574" w:type="dxa"/>
          </w:tcPr>
          <w:p w14:paraId="1B03DE85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901" w:type="dxa"/>
          </w:tcPr>
          <w:p w14:paraId="7E7C60BD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946" w:type="dxa"/>
          </w:tcPr>
          <w:p w14:paraId="04983D5B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1102" w:type="dxa"/>
          </w:tcPr>
          <w:p w14:paraId="5F7687ED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1070" w:type="dxa"/>
          </w:tcPr>
          <w:p w14:paraId="61496DF5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187" w:type="dxa"/>
          </w:tcPr>
          <w:p w14:paraId="590C2831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</w:tr>
      <w:tr w:rsidR="00842337" w14:paraId="5031B62A" w14:textId="77777777" w:rsidTr="00DA34FC">
        <w:trPr>
          <w:trHeight w:val="878"/>
          <w:jc w:val="center"/>
        </w:trPr>
        <w:tc>
          <w:tcPr>
            <w:tcW w:w="1232" w:type="dxa"/>
          </w:tcPr>
          <w:p w14:paraId="3160C5E0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精煤</w:t>
            </w:r>
          </w:p>
        </w:tc>
        <w:tc>
          <w:tcPr>
            <w:tcW w:w="1144" w:type="dxa"/>
          </w:tcPr>
          <w:p w14:paraId="6893E85B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%</w:t>
            </w:r>
          </w:p>
        </w:tc>
        <w:tc>
          <w:tcPr>
            <w:tcW w:w="1574" w:type="dxa"/>
          </w:tcPr>
          <w:p w14:paraId="0D45DDED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≥60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901" w:type="dxa"/>
          </w:tcPr>
          <w:p w14:paraId="4C5F9208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%</w:t>
            </w:r>
          </w:p>
        </w:tc>
        <w:tc>
          <w:tcPr>
            <w:tcW w:w="946" w:type="dxa"/>
          </w:tcPr>
          <w:p w14:paraId="09721AF2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%</w:t>
            </w:r>
          </w:p>
        </w:tc>
        <w:tc>
          <w:tcPr>
            <w:tcW w:w="1102" w:type="dxa"/>
          </w:tcPr>
          <w:p w14:paraId="798067D0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%</w:t>
            </w:r>
          </w:p>
        </w:tc>
        <w:tc>
          <w:tcPr>
            <w:tcW w:w="1070" w:type="dxa"/>
          </w:tcPr>
          <w:p w14:paraId="4E1B95B7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187" w:type="dxa"/>
          </w:tcPr>
          <w:p w14:paraId="134B70C3" w14:textId="77777777" w:rsidR="00842337" w:rsidRDefault="00842337" w:rsidP="00DA34F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</w:tr>
    </w:tbl>
    <w:p w14:paraId="1E26547C" w14:textId="77777777" w:rsidR="00842337" w:rsidRDefault="00842337" w:rsidP="00842337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3F83C9C0" w14:textId="77777777" w:rsidR="00842337" w:rsidRDefault="00842337" w:rsidP="00842337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65%</w:t>
      </w:r>
      <w:r>
        <w:rPr>
          <w:rFonts w:hint="eastAsia"/>
          <w:sz w:val="24"/>
          <w:szCs w:val="24"/>
        </w:rPr>
        <w:t>拒收或价格另议。</w:t>
      </w:r>
    </w:p>
    <w:p w14:paraId="3DDFA723" w14:textId="77777777" w:rsidR="00842337" w:rsidRDefault="00842337" w:rsidP="00842337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rFonts w:hint="eastAsia"/>
          <w:sz w:val="24"/>
          <w:szCs w:val="24"/>
        </w:rPr>
        <w:t>55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481BC221" w14:textId="77777777" w:rsidR="00842337" w:rsidRDefault="00842337" w:rsidP="00842337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14%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6BF352B6" w14:textId="77777777" w:rsidR="00842337" w:rsidRDefault="00842337" w:rsidP="00842337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70B91171" w14:textId="77777777" w:rsidR="00842337" w:rsidRDefault="00842337" w:rsidP="00842337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01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吨；</w:t>
      </w:r>
    </w:p>
    <w:p w14:paraId="06DF09AD" w14:textId="77777777" w:rsidR="00842337" w:rsidRDefault="00842337" w:rsidP="00842337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6、水分保留9%，超出部分按实际扣除；</w:t>
      </w:r>
    </w:p>
    <w:p w14:paraId="3582DB6F" w14:textId="77777777" w:rsidR="00842337" w:rsidRDefault="00842337" w:rsidP="00842337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782903E4" w14:textId="77777777" w:rsidR="00842337" w:rsidRDefault="00842337" w:rsidP="00842337">
      <w:pPr>
        <w:pStyle w:val="a0"/>
        <w:ind w:firstLineChars="100" w:firstLine="210"/>
        <w:rPr>
          <w:rFonts w:hint="eastAsia"/>
        </w:rPr>
      </w:pPr>
      <w:r>
        <w:rPr>
          <w:u w:val="none"/>
        </w:rPr>
        <w:t xml:space="preserve">  </w:t>
      </w:r>
      <w:r>
        <w:rPr>
          <w:rFonts w:hint="eastAsia"/>
          <w:sz w:val="24"/>
          <w:szCs w:val="22"/>
          <w:u w:val="none"/>
        </w:rPr>
        <w:t>8、不得含有浮选煤粉和浮选精煤粉，否则予以拒收。</w:t>
      </w:r>
    </w:p>
    <w:p w14:paraId="58874879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供货地点：岷山环能高科股份公司仓库。</w:t>
      </w:r>
    </w:p>
    <w:p w14:paraId="58F43388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2B69BFA0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增值税票），化验后按标准进行实际结算。</w:t>
      </w:r>
      <w:r>
        <w:rPr>
          <w:sz w:val="24"/>
          <w:szCs w:val="24"/>
        </w:rPr>
        <w:t xml:space="preserve">           </w:t>
      </w:r>
    </w:p>
    <w:p w14:paraId="12E92117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14A7192B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结算方式及期限：供方在招标前缴纳投标保证金拾万元整，中标后投标保证金变为履约保证金。货款为到货后化验合格、开具发票后一周内结算并以银行电子承兑（半年期）付款，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697D47BB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违约责任：</w:t>
      </w:r>
      <w:r>
        <w:rPr>
          <w:sz w:val="24"/>
          <w:szCs w:val="24"/>
        </w:rPr>
        <w:t xml:space="preserve"> </w:t>
      </w:r>
    </w:p>
    <w:p w14:paraId="0635CB38" w14:textId="77777777" w:rsidR="00842337" w:rsidRDefault="00842337" w:rsidP="00842337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58C1E79A" w14:textId="77777777" w:rsidR="00842337" w:rsidRDefault="00842337" w:rsidP="00842337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21DEEAFE" w14:textId="77777777" w:rsidR="00842337" w:rsidRDefault="00842337" w:rsidP="00842337">
      <w:pPr>
        <w:pStyle w:val="ListParagraph"/>
        <w:spacing w:line="44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</w:p>
    <w:p w14:paraId="7FE9E943" w14:textId="77777777" w:rsidR="00842337" w:rsidRDefault="00842337" w:rsidP="00842337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4</w:t>
      </w:r>
      <w:r>
        <w:rPr>
          <w:bCs/>
          <w:sz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sz w:val="24"/>
          <w:szCs w:val="24"/>
        </w:rPr>
        <w:t xml:space="preserve">                                </w:t>
      </w:r>
    </w:p>
    <w:p w14:paraId="4BA6AB1F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解决合同纠纷的方式：</w:t>
      </w:r>
    </w:p>
    <w:p w14:paraId="53FFA0CC" w14:textId="77777777" w:rsidR="00842337" w:rsidRDefault="00842337" w:rsidP="00842337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日内通知对方，并得到对方书面认可，如未通知对方或者未经对方书面确认的，视为未变更。</w:t>
      </w:r>
      <w:r>
        <w:rPr>
          <w:sz w:val="24"/>
          <w:szCs w:val="24"/>
        </w:rPr>
        <w:t xml:space="preserve">  </w:t>
      </w:r>
    </w:p>
    <w:p w14:paraId="10C89877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合同有效期：本合同从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7A8DC559" w14:textId="77777777" w:rsidR="00842337" w:rsidRDefault="00842337" w:rsidP="00842337">
      <w:pPr>
        <w:pStyle w:val="ListParagraph"/>
        <w:numPr>
          <w:ilvl w:val="0"/>
          <w:numId w:val="1"/>
        </w:numPr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本合同一式六份，供方两份，需方四份，本合同经双方法定代表人或委</w:t>
      </w:r>
      <w:r>
        <w:rPr>
          <w:rFonts w:hint="eastAsia"/>
          <w:sz w:val="24"/>
          <w:szCs w:val="24"/>
        </w:rPr>
        <w:lastRenderedPageBreak/>
        <w:t>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842337" w14:paraId="0E05D56A" w14:textId="77777777" w:rsidTr="00DA34FC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969" w14:textId="77777777" w:rsidR="00842337" w:rsidRDefault="00842337" w:rsidP="00DA34FC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3B7F2135" w14:textId="77777777" w:rsidR="00842337" w:rsidRDefault="00842337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1729D3B6" w14:textId="77777777" w:rsidR="00842337" w:rsidRDefault="00842337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3AAB9E59" w14:textId="77777777" w:rsidR="00842337" w:rsidRDefault="00842337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64E67CC5" w14:textId="77777777" w:rsidR="00842337" w:rsidRDefault="00842337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794D737F" w14:textId="77777777" w:rsidR="00842337" w:rsidRDefault="00842337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2B54B87D" w14:textId="77777777" w:rsidR="00842337" w:rsidRDefault="00842337" w:rsidP="00DA34F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6C3655DF" w14:textId="77777777" w:rsidR="00842337" w:rsidRDefault="00842337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7B892A45" w14:textId="77777777" w:rsidR="00842337" w:rsidRDefault="00842337" w:rsidP="00DA34F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58278663" w14:textId="77777777" w:rsidR="00842337" w:rsidRDefault="00842337" w:rsidP="00DA34F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7F5B5E66" w14:textId="77777777" w:rsidR="00842337" w:rsidRDefault="00842337" w:rsidP="00DA34FC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17878" w14:textId="77777777" w:rsidR="00842337" w:rsidRDefault="00842337" w:rsidP="00DA34FC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3DB798E4" w14:textId="77777777" w:rsidR="00842337" w:rsidRDefault="00842337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7714210" w14:textId="77777777" w:rsidR="00842337" w:rsidRDefault="00842337" w:rsidP="00DA34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5F00347B" w14:textId="77777777" w:rsidR="00842337" w:rsidRDefault="00842337" w:rsidP="00DA34FC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25EA3644" w14:textId="77777777" w:rsidR="00842337" w:rsidRDefault="00842337" w:rsidP="00DA34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2530918B" w14:textId="77777777" w:rsidR="00842337" w:rsidRDefault="00842337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534C35DF" w14:textId="77777777" w:rsidR="00842337" w:rsidRDefault="00842337" w:rsidP="00DA34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2DBB8494" w14:textId="77777777" w:rsidR="00842337" w:rsidRDefault="00842337" w:rsidP="00DA34FC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0DD9F012" w14:textId="77777777" w:rsidR="00842337" w:rsidRDefault="00842337" w:rsidP="00DA34FC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7CDB8EE5" w14:textId="77777777" w:rsidR="00842337" w:rsidRDefault="00842337" w:rsidP="00DA34FC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10D8FE7B" w14:textId="77777777" w:rsidR="00842337" w:rsidRDefault="00842337" w:rsidP="00842337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6FA76649" w14:textId="77777777" w:rsidR="00842337" w:rsidRDefault="00842337" w:rsidP="00842337">
      <w:pPr>
        <w:pStyle w:val="a0"/>
        <w:rPr>
          <w:rFonts w:hint="eastAsia"/>
        </w:rPr>
      </w:pPr>
    </w:p>
    <w:p w14:paraId="040BE1CE" w14:textId="77777777" w:rsidR="00842337" w:rsidRDefault="00842337" w:rsidP="00842337">
      <w:pPr>
        <w:spacing w:line="320" w:lineRule="exact"/>
        <w:rPr>
          <w:rFonts w:ascii="仿宋" w:eastAsia="仿宋" w:hAnsi="仿宋" w:cs="仿宋"/>
          <w:b/>
          <w:sz w:val="24"/>
          <w:szCs w:val="24"/>
        </w:rPr>
      </w:pPr>
    </w:p>
    <w:p w14:paraId="56E242DF" w14:textId="77777777" w:rsidR="00842337" w:rsidRDefault="00842337" w:rsidP="00842337">
      <w:pPr>
        <w:pStyle w:val="a0"/>
        <w:rPr>
          <w:rFonts w:ascii="仿宋" w:eastAsia="仿宋" w:hAnsi="仿宋" w:cs="仿宋"/>
          <w:b/>
          <w:sz w:val="24"/>
          <w:szCs w:val="24"/>
        </w:rPr>
      </w:pPr>
    </w:p>
    <w:p w14:paraId="412C5734" w14:textId="77777777" w:rsidR="00842337" w:rsidRDefault="00842337" w:rsidP="00842337">
      <w:pPr>
        <w:pStyle w:val="a0"/>
        <w:rPr>
          <w:rFonts w:ascii="仿宋" w:eastAsia="仿宋" w:hAnsi="仿宋" w:cs="仿宋" w:hint="eastAsia"/>
          <w:b/>
          <w:sz w:val="24"/>
          <w:szCs w:val="24"/>
        </w:rPr>
      </w:pPr>
    </w:p>
    <w:p w14:paraId="678114A1" w14:textId="77777777" w:rsidR="00341B74" w:rsidRDefault="003E1CB7"/>
    <w:sectPr w:rsidR="00341B74">
      <w:footerReference w:type="default" r:id="rId7"/>
      <w:pgSz w:w="11906" w:h="16838"/>
      <w:pgMar w:top="1418" w:right="1287" w:bottom="1418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5D9D" w14:textId="77777777" w:rsidR="003E1CB7" w:rsidRDefault="003E1CB7" w:rsidP="00842337">
      <w:r>
        <w:separator/>
      </w:r>
    </w:p>
  </w:endnote>
  <w:endnote w:type="continuationSeparator" w:id="0">
    <w:p w14:paraId="78503DE7" w14:textId="77777777" w:rsidR="003E1CB7" w:rsidRDefault="003E1CB7" w:rsidP="0084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BF99" w14:textId="647CD2D7" w:rsidR="00000000" w:rsidRDefault="0084233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A38D6" wp14:editId="0311FF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34681" w14:textId="77777777" w:rsidR="00000000" w:rsidRDefault="003E1CB7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A38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" filled="f" stroked="f">
              <v:textbox style="mso-fit-shape-to-text:t" inset="0,0,0,0">
                <w:txbxContent>
                  <w:p w14:paraId="52034681" w14:textId="77777777" w:rsidR="00000000" w:rsidRDefault="003E1CB7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35FB" w14:textId="77777777" w:rsidR="003E1CB7" w:rsidRDefault="003E1CB7" w:rsidP="00842337">
      <w:r>
        <w:separator/>
      </w:r>
    </w:p>
  </w:footnote>
  <w:footnote w:type="continuationSeparator" w:id="0">
    <w:p w14:paraId="3B433DF3" w14:textId="77777777" w:rsidR="003E1CB7" w:rsidRDefault="003E1CB7" w:rsidP="0084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6CE6"/>
    <w:multiLevelType w:val="multilevel"/>
    <w:tmpl w:val="28126CE6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23"/>
    <w:rsid w:val="00007623"/>
    <w:rsid w:val="0032479B"/>
    <w:rsid w:val="003E1CB7"/>
    <w:rsid w:val="004214CB"/>
    <w:rsid w:val="008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C87BA65-0F42-4BFC-93C6-B5272EE2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423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42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2337"/>
    <w:rPr>
      <w:sz w:val="18"/>
      <w:szCs w:val="18"/>
    </w:rPr>
  </w:style>
  <w:style w:type="paragraph" w:styleId="a6">
    <w:name w:val="footer"/>
    <w:basedOn w:val="a"/>
    <w:link w:val="a7"/>
    <w:unhideWhenUsed/>
    <w:rsid w:val="00842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2337"/>
    <w:rPr>
      <w:sz w:val="18"/>
      <w:szCs w:val="18"/>
    </w:rPr>
  </w:style>
  <w:style w:type="paragraph" w:styleId="a0">
    <w:name w:val="Plain Text"/>
    <w:basedOn w:val="a"/>
    <w:link w:val="a8"/>
    <w:rsid w:val="00842337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842337"/>
    <w:rPr>
      <w:rFonts w:ascii="宋体" w:eastAsia="宋体" w:hAnsi="Courier" w:cs="Times New Roman"/>
      <w:szCs w:val="20"/>
      <w:u w:val="single"/>
    </w:rPr>
  </w:style>
  <w:style w:type="paragraph" w:customStyle="1" w:styleId="ListParagraph">
    <w:name w:val="List Paragraph"/>
    <w:basedOn w:val="a"/>
    <w:uiPriority w:val="99"/>
    <w:qFormat/>
    <w:rsid w:val="00842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2021-10-30T01:51:00Z</dcterms:created>
  <dcterms:modified xsi:type="dcterms:W3CDTF">2021-10-30T01:51:00Z</dcterms:modified>
</cp:coreProperties>
</file>