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right="105" w:rightChars="50"/>
        <w:jc w:val="left"/>
        <w:rPr>
          <w:rFonts w:hint="eastAsia" w:ascii="宋体" w:hAnsi="宋体" w:eastAsia="宋体"/>
          <w:color w:val="auto"/>
          <w:highlight w:val="none"/>
          <w:lang w:eastAsia="zh-CN"/>
        </w:rPr>
      </w:pPr>
      <w:r>
        <w:rPr>
          <w:rFonts w:hint="eastAsia" w:ascii="宋体" w:hAnsi="宋体"/>
          <w:color w:val="auto"/>
          <w:highlight w:val="none"/>
          <w:lang w:eastAsia="zh-CN"/>
        </w:rPr>
        <w:t>附件一：</w:t>
      </w:r>
    </w:p>
    <w:p>
      <w:pPr>
        <w:ind w:left="105" w:leftChars="50" w:right="105" w:rightChars="50"/>
        <w:jc w:val="center"/>
        <w:rPr>
          <w:rFonts w:ascii="宋体" w:hAnsi="宋体"/>
          <w:b/>
          <w:kern w:val="0"/>
          <w:sz w:val="44"/>
          <w:szCs w:val="44"/>
          <w:highlight w:val="yellow"/>
        </w:rPr>
      </w:pPr>
    </w:p>
    <w:p>
      <w:pPr>
        <w:ind w:left="105" w:leftChars="50" w:right="105" w:rightChars="50"/>
        <w:jc w:val="center"/>
        <w:rPr>
          <w:rFonts w:ascii="宋体" w:hAnsi="宋体"/>
          <w:b/>
          <w:kern w:val="0"/>
          <w:sz w:val="44"/>
          <w:szCs w:val="44"/>
          <w:highlight w:val="yellow"/>
        </w:rPr>
      </w:pPr>
    </w:p>
    <w:p>
      <w:pPr>
        <w:spacing w:line="360" w:lineRule="auto"/>
        <w:jc w:val="center"/>
        <w:rPr>
          <w:rFonts w:hint="eastAsia" w:ascii="Times New Roman" w:hAnsi="Times New Roman" w:eastAsia="宋体" w:cs="Times New Roman"/>
          <w:b/>
          <w:spacing w:val="40"/>
          <w:sz w:val="44"/>
          <w:highlight w:val="none"/>
          <w:lang w:val="en-US" w:eastAsia="zh-CN"/>
        </w:rPr>
      </w:pPr>
      <w:r>
        <w:rPr>
          <w:rFonts w:hint="eastAsia" w:ascii="Times New Roman" w:hAnsi="Times New Roman" w:eastAsia="宋体" w:cs="Times New Roman"/>
          <w:b/>
          <w:spacing w:val="40"/>
          <w:sz w:val="44"/>
          <w:highlight w:val="none"/>
          <w:lang w:val="en-US" w:eastAsia="zh-CN"/>
        </w:rPr>
        <w:t>安阳岷山集团110kV青山变1#主变</w:t>
      </w:r>
    </w:p>
    <w:p>
      <w:pPr>
        <w:spacing w:line="360" w:lineRule="auto"/>
        <w:jc w:val="center"/>
        <w:rPr>
          <w:rFonts w:hint="eastAsia" w:ascii="Times New Roman" w:hAnsi="Times New Roman" w:eastAsia="宋体" w:cs="Times New Roman"/>
          <w:b/>
          <w:spacing w:val="40"/>
          <w:sz w:val="44"/>
          <w:highlight w:val="none"/>
          <w:lang w:val="en-US" w:eastAsia="zh-CN"/>
        </w:rPr>
      </w:pPr>
      <w:r>
        <w:rPr>
          <w:rFonts w:hint="eastAsia" w:ascii="Times New Roman" w:hAnsi="Times New Roman" w:eastAsia="宋体" w:cs="Times New Roman"/>
          <w:b/>
          <w:spacing w:val="40"/>
          <w:sz w:val="44"/>
          <w:highlight w:val="none"/>
          <w:lang w:val="en-US" w:eastAsia="zh-CN"/>
        </w:rPr>
        <w:t>增容工程</w:t>
      </w:r>
    </w:p>
    <w:p>
      <w:pPr>
        <w:spacing w:line="276" w:lineRule="auto"/>
        <w:ind w:right="105" w:rightChars="50"/>
        <w:jc w:val="center"/>
        <w:rPr>
          <w:rFonts w:ascii="宋体" w:hAnsi="宋体"/>
          <w:b/>
          <w:kern w:val="0"/>
          <w:sz w:val="48"/>
          <w:szCs w:val="48"/>
          <w:highlight w:val="yellow"/>
        </w:rPr>
      </w:pPr>
    </w:p>
    <w:p>
      <w:pPr>
        <w:autoSpaceDE w:val="0"/>
        <w:autoSpaceDN w:val="0"/>
        <w:snapToGrid w:val="0"/>
        <w:ind w:left="105" w:leftChars="50" w:right="105" w:rightChars="50"/>
        <w:jc w:val="center"/>
        <w:outlineLvl w:val="0"/>
        <w:rPr>
          <w:rFonts w:ascii="宋体" w:hAnsi="宋体"/>
          <w:b/>
          <w:bCs/>
          <w:sz w:val="52"/>
          <w:szCs w:val="52"/>
          <w:highlight w:val="yellow"/>
          <w:u w:val="single"/>
        </w:rPr>
      </w:pPr>
    </w:p>
    <w:p>
      <w:pPr>
        <w:pStyle w:val="2"/>
        <w:rPr>
          <w:rFonts w:ascii="宋体" w:hAnsi="宋体"/>
          <w:b/>
          <w:bCs/>
          <w:sz w:val="52"/>
          <w:szCs w:val="52"/>
          <w:highlight w:val="yellow"/>
          <w:u w:val="single"/>
        </w:rPr>
      </w:pPr>
    </w:p>
    <w:p>
      <w:pPr>
        <w:pStyle w:val="2"/>
        <w:rPr>
          <w:rFonts w:ascii="宋体" w:hAnsi="宋体"/>
          <w:b/>
          <w:bCs/>
          <w:sz w:val="52"/>
          <w:szCs w:val="52"/>
          <w:highlight w:val="yellow"/>
          <w:u w:val="single"/>
        </w:rPr>
      </w:pPr>
    </w:p>
    <w:p>
      <w:pPr>
        <w:pStyle w:val="2"/>
        <w:rPr>
          <w:rFonts w:ascii="宋体" w:hAnsi="宋体"/>
          <w:b/>
          <w:bCs/>
          <w:sz w:val="52"/>
          <w:szCs w:val="52"/>
          <w:highlight w:val="yellow"/>
          <w:u w:val="single"/>
        </w:rPr>
      </w:pPr>
    </w:p>
    <w:p>
      <w:pPr>
        <w:ind w:left="105" w:leftChars="50" w:right="105" w:rightChars="50"/>
        <w:jc w:val="center"/>
        <w:rPr>
          <w:rFonts w:hint="default" w:ascii="Times New Roman" w:hAnsi="Times New Roman" w:eastAsia="方正小标宋简体" w:cs="Times New Roman"/>
          <w:sz w:val="52"/>
          <w:szCs w:val="52"/>
          <w:highlight w:val="none"/>
        </w:rPr>
      </w:pPr>
      <w:r>
        <w:rPr>
          <w:rFonts w:hint="eastAsia" w:eastAsia="方正小标宋简体" w:cs="Times New Roman"/>
          <w:sz w:val="52"/>
          <w:szCs w:val="52"/>
          <w:highlight w:val="none"/>
          <w:lang w:val="en-US" w:eastAsia="zh-CN"/>
        </w:rPr>
        <w:t>施工</w:t>
      </w:r>
      <w:r>
        <w:rPr>
          <w:rFonts w:hint="default" w:ascii="Times New Roman" w:hAnsi="Times New Roman" w:eastAsia="方正小标宋简体" w:cs="Times New Roman"/>
          <w:sz w:val="52"/>
          <w:szCs w:val="52"/>
          <w:highlight w:val="none"/>
        </w:rPr>
        <w:t>招标文件</w:t>
      </w:r>
    </w:p>
    <w:p>
      <w:pPr>
        <w:pStyle w:val="2"/>
        <w:rPr>
          <w:rFonts w:hint="default" w:ascii="Times New Roman" w:hAnsi="Times New Roman" w:eastAsia="方正小标宋简体" w:cs="Times New Roman"/>
          <w:sz w:val="52"/>
          <w:szCs w:val="52"/>
          <w:highlight w:val="none"/>
        </w:rPr>
      </w:pPr>
    </w:p>
    <w:p>
      <w:pPr>
        <w:pStyle w:val="2"/>
        <w:rPr>
          <w:rFonts w:hint="default" w:ascii="Times New Roman" w:hAnsi="Times New Roman" w:eastAsia="方正小标宋简体" w:cs="Times New Roman"/>
          <w:sz w:val="52"/>
          <w:szCs w:val="52"/>
          <w:highlight w:val="none"/>
        </w:rPr>
      </w:pPr>
    </w:p>
    <w:p>
      <w:pPr>
        <w:pStyle w:val="2"/>
        <w:rPr>
          <w:rFonts w:hint="default" w:ascii="Times New Roman" w:hAnsi="Times New Roman" w:eastAsia="方正小标宋简体" w:cs="Times New Roman"/>
          <w:sz w:val="52"/>
          <w:szCs w:val="52"/>
          <w:highlight w:val="none"/>
        </w:rPr>
      </w:pPr>
    </w:p>
    <w:p>
      <w:pPr>
        <w:pStyle w:val="2"/>
        <w:rPr>
          <w:rFonts w:hint="default" w:ascii="Times New Roman" w:hAnsi="Times New Roman" w:eastAsia="方正小标宋简体" w:cs="Times New Roman"/>
          <w:sz w:val="52"/>
          <w:szCs w:val="52"/>
          <w:highlight w:val="none"/>
        </w:rPr>
      </w:pPr>
    </w:p>
    <w:p>
      <w:pPr>
        <w:pStyle w:val="2"/>
        <w:rPr>
          <w:rFonts w:hint="default" w:ascii="Times New Roman" w:hAnsi="Times New Roman" w:eastAsia="方正小标宋简体" w:cs="Times New Roman"/>
          <w:sz w:val="52"/>
          <w:szCs w:val="52"/>
          <w:highlight w:val="none"/>
        </w:rPr>
      </w:pPr>
    </w:p>
    <w:p>
      <w:pPr>
        <w:pStyle w:val="2"/>
        <w:rPr>
          <w:rFonts w:hint="default" w:ascii="Times New Roman" w:hAnsi="Times New Roman" w:eastAsia="方正小标宋简体" w:cs="Times New Roman"/>
          <w:sz w:val="52"/>
          <w:szCs w:val="52"/>
          <w:highlight w:val="none"/>
        </w:rPr>
      </w:pPr>
    </w:p>
    <w:p>
      <w:pPr>
        <w:pStyle w:val="2"/>
        <w:rPr>
          <w:rFonts w:hint="default" w:ascii="Times New Roman" w:hAnsi="Times New Roman" w:eastAsia="方正小标宋简体" w:cs="Times New Roman"/>
          <w:sz w:val="52"/>
          <w:szCs w:val="52"/>
          <w:highlight w:val="none"/>
        </w:rPr>
      </w:pPr>
    </w:p>
    <w:p>
      <w:pPr>
        <w:spacing w:line="360" w:lineRule="auto"/>
        <w:ind w:right="105" w:rightChars="50"/>
        <w:jc w:val="both"/>
        <w:rPr>
          <w:rFonts w:hint="eastAsia" w:ascii="宋体" w:hAnsi="宋体"/>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105" w:rightChars="50"/>
        <w:jc w:val="center"/>
        <w:textAlignment w:val="auto"/>
        <w:rPr>
          <w:rFonts w:hint="eastAsia" w:ascii="宋体" w:hAnsi="宋体" w:eastAsia="宋体"/>
          <w:sz w:val="32"/>
          <w:szCs w:val="32"/>
          <w:highlight w:val="none"/>
          <w:u w:val="single"/>
          <w:lang w:eastAsia="zh-CN"/>
        </w:rPr>
      </w:pPr>
      <w:r>
        <w:rPr>
          <w:rFonts w:hint="eastAsia" w:ascii="宋体" w:hAnsi="宋体"/>
          <w:sz w:val="32"/>
          <w:szCs w:val="32"/>
          <w:highlight w:val="none"/>
        </w:rPr>
        <w:t>采购人：岷山</w:t>
      </w:r>
      <w:r>
        <w:rPr>
          <w:rFonts w:hint="eastAsia" w:ascii="宋体" w:hAnsi="宋体"/>
          <w:sz w:val="32"/>
          <w:szCs w:val="32"/>
          <w:highlight w:val="none"/>
          <w:lang w:eastAsia="zh-CN"/>
        </w:rPr>
        <w:t>环能高科股份</w:t>
      </w:r>
      <w:r>
        <w:rPr>
          <w:rFonts w:hint="eastAsia" w:ascii="宋体" w:hAnsi="宋体"/>
          <w:sz w:val="32"/>
          <w:szCs w:val="32"/>
          <w:highlight w:val="none"/>
        </w:rPr>
        <w:t>公司</w:t>
      </w:r>
    </w:p>
    <w:p>
      <w:pPr>
        <w:keepNext w:val="0"/>
        <w:keepLines w:val="0"/>
        <w:pageBreakBefore w:val="0"/>
        <w:widowControl w:val="0"/>
        <w:kinsoku/>
        <w:wordWrap/>
        <w:overflowPunct/>
        <w:topLinePunct w:val="0"/>
        <w:autoSpaceDE/>
        <w:autoSpaceDN/>
        <w:bidi w:val="0"/>
        <w:adjustRightInd/>
        <w:snapToGrid/>
        <w:spacing w:line="360" w:lineRule="auto"/>
        <w:ind w:right="105" w:rightChars="50"/>
        <w:jc w:val="center"/>
        <w:textAlignment w:val="auto"/>
        <w:rPr>
          <w:rFonts w:hint="eastAsia" w:ascii="宋体" w:hAnsi="宋体"/>
          <w:sz w:val="32"/>
          <w:szCs w:val="32"/>
          <w:highlight w:val="none"/>
        </w:rPr>
      </w:pPr>
      <w:r>
        <w:rPr>
          <w:rFonts w:hint="eastAsia" w:ascii="宋体" w:hAnsi="宋体"/>
          <w:sz w:val="32"/>
          <w:szCs w:val="32"/>
          <w:highlight w:val="none"/>
        </w:rPr>
        <w:t>设计单位：安阳优创电力设计院有限责任公司</w:t>
      </w:r>
    </w:p>
    <w:p>
      <w:pPr>
        <w:keepNext w:val="0"/>
        <w:keepLines w:val="0"/>
        <w:pageBreakBefore w:val="0"/>
        <w:widowControl w:val="0"/>
        <w:kinsoku/>
        <w:wordWrap/>
        <w:overflowPunct/>
        <w:topLinePunct w:val="0"/>
        <w:autoSpaceDE/>
        <w:autoSpaceDN/>
        <w:bidi w:val="0"/>
        <w:adjustRightInd/>
        <w:snapToGrid/>
        <w:spacing w:line="360" w:lineRule="auto"/>
        <w:ind w:right="105" w:rightChars="50"/>
        <w:jc w:val="center"/>
        <w:textAlignment w:val="auto"/>
        <w:rPr>
          <w:rFonts w:ascii="宋体" w:hAnsi="宋体"/>
          <w:sz w:val="32"/>
          <w:szCs w:val="32"/>
          <w:highlight w:val="yellow"/>
        </w:rPr>
      </w:pPr>
      <w:r>
        <w:rPr>
          <w:rFonts w:hint="eastAsia" w:ascii="宋体" w:hAnsi="宋体"/>
          <w:sz w:val="30"/>
          <w:highlight w:val="none"/>
        </w:rPr>
        <w:t>20</w:t>
      </w:r>
      <w:r>
        <w:rPr>
          <w:rFonts w:hint="eastAsia" w:ascii="宋体" w:hAnsi="宋体"/>
          <w:sz w:val="30"/>
          <w:highlight w:val="none"/>
          <w:lang w:val="en-US" w:eastAsia="zh-CN"/>
        </w:rPr>
        <w:t>21</w:t>
      </w:r>
      <w:r>
        <w:rPr>
          <w:rFonts w:hint="eastAsia" w:ascii="宋体" w:hAnsi="宋体"/>
          <w:sz w:val="30"/>
          <w:highlight w:val="none"/>
        </w:rPr>
        <w:t>年</w:t>
      </w:r>
      <w:r>
        <w:rPr>
          <w:rFonts w:hint="eastAsia" w:ascii="宋体" w:hAnsi="宋体"/>
          <w:sz w:val="30"/>
          <w:highlight w:val="none"/>
          <w:lang w:val="en-US" w:eastAsia="zh-CN"/>
        </w:rPr>
        <w:t>06</w:t>
      </w:r>
      <w:r>
        <w:rPr>
          <w:rFonts w:hint="eastAsia" w:ascii="宋体" w:hAnsi="宋体"/>
          <w:sz w:val="30"/>
          <w:highlight w:val="none"/>
        </w:rPr>
        <w:t>月</w:t>
      </w:r>
    </w:p>
    <w:p>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ascii="宋体" w:hAnsi="宋体"/>
          <w:b/>
          <w:sz w:val="32"/>
          <w:szCs w:val="32"/>
          <w:highlight w:val="yellow"/>
        </w:rPr>
      </w:pPr>
    </w:p>
    <w:p>
      <w:pPr>
        <w:widowControl/>
        <w:ind w:left="105" w:leftChars="50" w:right="105" w:rightChars="50"/>
        <w:jc w:val="left"/>
        <w:rPr>
          <w:rFonts w:ascii="宋体" w:hAnsi="宋体"/>
          <w:highlight w:val="yellow"/>
        </w:rPr>
        <w:sectPr>
          <w:headerReference r:id="rId3" w:type="default"/>
          <w:footerReference r:id="rId4" w:type="default"/>
          <w:pgSz w:w="11907" w:h="16840"/>
          <w:pgMar w:top="1440" w:right="1803" w:bottom="1440" w:left="1797" w:header="720" w:footer="720" w:gutter="0"/>
          <w:pgNumType w:start="1"/>
          <w:cols w:space="720" w:num="1"/>
        </w:sectPr>
      </w:pPr>
    </w:p>
    <w:p>
      <w:pPr>
        <w:widowControl/>
        <w:adjustRightInd w:val="0"/>
        <w:snapToGrid w:val="0"/>
        <w:ind w:left="105" w:leftChars="50" w:right="105" w:rightChars="50" w:firstLine="3054" w:firstLineChars="845"/>
        <w:rPr>
          <w:rFonts w:ascii="宋体" w:hAnsi="宋体"/>
          <w:b/>
          <w:sz w:val="36"/>
          <w:szCs w:val="36"/>
          <w:highlight w:val="none"/>
        </w:rPr>
      </w:pPr>
      <w:r>
        <w:rPr>
          <w:rFonts w:hint="eastAsia" w:ascii="宋体" w:hAnsi="宋体"/>
          <w:b/>
          <w:sz w:val="36"/>
          <w:szCs w:val="36"/>
          <w:highlight w:val="none"/>
        </w:rPr>
        <w:t>第一卷  应答须知</w:t>
      </w:r>
    </w:p>
    <w:p>
      <w:pPr>
        <w:adjustRightInd w:val="0"/>
        <w:snapToGrid w:val="0"/>
        <w:ind w:left="105" w:leftChars="50" w:right="105" w:rightChars="50" w:firstLine="3448" w:firstLineChars="1145"/>
        <w:rPr>
          <w:rFonts w:ascii="宋体" w:hAnsi="宋体"/>
          <w:b/>
          <w:sz w:val="30"/>
          <w:szCs w:val="30"/>
          <w:highlight w:val="none"/>
        </w:rPr>
      </w:pPr>
      <w:r>
        <w:rPr>
          <w:rFonts w:hint="eastAsia" w:ascii="宋体" w:hAnsi="宋体"/>
          <w:b/>
          <w:sz w:val="30"/>
          <w:szCs w:val="30"/>
          <w:highlight w:val="none"/>
        </w:rPr>
        <w:t>应答须知前附表</w:t>
      </w:r>
    </w:p>
    <w:tbl>
      <w:tblPr>
        <w:tblStyle w:val="50"/>
        <w:tblW w:w="93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9"/>
        <w:gridCol w:w="83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39" w:type="dxa"/>
            <w:tcBorders>
              <w:top w:val="double" w:color="auto" w:sz="4" w:space="0"/>
              <w:left w:val="double" w:color="auto" w:sz="4" w:space="0"/>
            </w:tcBorders>
            <w:vAlign w:val="center"/>
          </w:tcPr>
          <w:p>
            <w:pPr>
              <w:adjustRightInd w:val="0"/>
              <w:snapToGrid w:val="0"/>
              <w:ind w:left="105" w:leftChars="50" w:right="105" w:rightChars="50"/>
              <w:jc w:val="center"/>
              <w:rPr>
                <w:rFonts w:ascii="宋体" w:hAnsi="宋体" w:cs="Arial"/>
                <w:b/>
                <w:color w:val="000000"/>
                <w:sz w:val="24"/>
                <w:highlight w:val="none"/>
              </w:rPr>
            </w:pPr>
            <w:r>
              <w:rPr>
                <w:rFonts w:hint="eastAsia" w:ascii="宋体" w:hAnsi="宋体" w:cs="Arial"/>
                <w:b/>
                <w:color w:val="000000"/>
                <w:sz w:val="24"/>
                <w:highlight w:val="none"/>
              </w:rPr>
              <w:t>序号</w:t>
            </w:r>
          </w:p>
        </w:tc>
        <w:tc>
          <w:tcPr>
            <w:tcW w:w="8375" w:type="dxa"/>
            <w:tcBorders>
              <w:top w:val="double" w:color="auto" w:sz="4" w:space="0"/>
              <w:right w:val="double" w:color="auto" w:sz="4" w:space="0"/>
            </w:tcBorders>
            <w:vAlign w:val="center"/>
          </w:tcPr>
          <w:p>
            <w:pPr>
              <w:adjustRightInd w:val="0"/>
              <w:snapToGrid w:val="0"/>
              <w:ind w:left="105" w:leftChars="50" w:right="105" w:rightChars="50" w:firstLine="2597" w:firstLineChars="1078"/>
              <w:rPr>
                <w:rFonts w:ascii="宋体" w:hAnsi="宋体" w:cs="Arial"/>
                <w:b/>
                <w:color w:val="000000"/>
                <w:sz w:val="24"/>
                <w:highlight w:val="none"/>
              </w:rPr>
            </w:pPr>
            <w:r>
              <w:rPr>
                <w:rFonts w:hint="eastAsia" w:ascii="宋体" w:hAnsi="宋体" w:cs="Arial"/>
                <w:b/>
                <w:color w:val="000000"/>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939" w:type="dxa"/>
            <w:tcBorders>
              <w:left w:val="double" w:color="auto" w:sz="4" w:space="0"/>
            </w:tcBorders>
            <w:vAlign w:val="center"/>
          </w:tcPr>
          <w:p>
            <w:pPr>
              <w:adjustRightInd w:val="0"/>
              <w:snapToGrid w:val="0"/>
              <w:ind w:left="105" w:leftChars="50" w:right="105" w:rightChars="50"/>
              <w:jc w:val="center"/>
              <w:rPr>
                <w:rFonts w:ascii="宋体" w:hAnsi="宋体" w:cs="Arial"/>
                <w:color w:val="000000"/>
                <w:sz w:val="24"/>
                <w:highlight w:val="yellow"/>
              </w:rPr>
            </w:pPr>
            <w:r>
              <w:rPr>
                <w:rFonts w:hint="eastAsia" w:ascii="宋体" w:hAnsi="宋体" w:cs="Arial"/>
                <w:color w:val="000000"/>
                <w:sz w:val="24"/>
                <w:highlight w:val="none"/>
              </w:rPr>
              <w:t>1</w:t>
            </w:r>
          </w:p>
        </w:tc>
        <w:tc>
          <w:tcPr>
            <w:tcW w:w="8375" w:type="dxa"/>
            <w:tcBorders>
              <w:right w:val="double" w:color="auto" w:sz="4" w:space="0"/>
            </w:tcBorders>
            <w:vAlign w:val="center"/>
          </w:tcPr>
          <w:p>
            <w:pPr>
              <w:adjustRightInd w:val="0"/>
              <w:snapToGrid w:val="0"/>
              <w:spacing w:line="276" w:lineRule="auto"/>
              <w:ind w:left="1058" w:leftChars="47" w:right="105" w:rightChars="50" w:hanging="959" w:hangingChars="398"/>
              <w:rPr>
                <w:rFonts w:hint="eastAsia" w:ascii="宋体" w:hAnsi="宋体" w:cs="Arial"/>
                <w:b/>
                <w:color w:val="auto"/>
                <w:sz w:val="24"/>
                <w:highlight w:val="none"/>
                <w:lang w:val="en-US" w:eastAsia="zh-CN"/>
              </w:rPr>
            </w:pPr>
            <w:r>
              <w:rPr>
                <w:rFonts w:hint="eastAsia" w:ascii="宋体" w:hAnsi="宋体" w:cs="Arial"/>
                <w:b/>
                <w:color w:val="auto"/>
                <w:sz w:val="24"/>
                <w:highlight w:val="none"/>
              </w:rPr>
              <w:t>项目名称：</w:t>
            </w:r>
            <w:r>
              <w:rPr>
                <w:rFonts w:hint="eastAsia" w:ascii="宋体" w:hAnsi="宋体" w:cs="Arial"/>
                <w:b/>
                <w:color w:val="auto"/>
                <w:sz w:val="24"/>
                <w:highlight w:val="none"/>
                <w:lang w:val="en-US" w:eastAsia="zh-CN"/>
              </w:rPr>
              <w:t>安阳岷山集团110kV青山变1#主变增容工程</w:t>
            </w:r>
          </w:p>
          <w:p>
            <w:pPr>
              <w:adjustRightInd w:val="0"/>
              <w:snapToGrid w:val="0"/>
              <w:spacing w:line="276" w:lineRule="auto"/>
              <w:ind w:left="1299" w:leftChars="47" w:right="105" w:rightChars="50" w:hanging="1200" w:hangingChars="498"/>
              <w:rPr>
                <w:rFonts w:hint="default" w:ascii="宋体" w:hAnsi="宋体" w:eastAsia="宋体" w:cs="Arial"/>
                <w:b/>
                <w:color w:val="2E74B5"/>
                <w:sz w:val="24"/>
                <w:highlight w:val="none"/>
                <w:lang w:val="en-US" w:eastAsia="zh-CN"/>
              </w:rPr>
            </w:pPr>
            <w:r>
              <w:rPr>
                <w:rFonts w:hint="eastAsia" w:ascii="宋体" w:hAnsi="宋体" w:cs="Arial"/>
                <w:b/>
                <w:color w:val="auto"/>
                <w:sz w:val="24"/>
                <w:highlight w:val="none"/>
              </w:rPr>
              <w:t>施工地点：</w:t>
            </w:r>
            <w:r>
              <w:rPr>
                <w:rFonts w:hint="eastAsia" w:ascii="宋体" w:hAnsi="宋体" w:cs="Arial"/>
                <w:b/>
                <w:color w:val="auto"/>
                <w:sz w:val="24"/>
                <w:highlight w:val="none"/>
                <w:lang w:eastAsia="zh-CN"/>
              </w:rPr>
              <w:t>河南省安阳市龙安区太行路与龙康大道交叉口西</w:t>
            </w:r>
            <w:r>
              <w:rPr>
                <w:rFonts w:hint="eastAsia" w:ascii="宋体" w:hAnsi="宋体" w:cs="Arial"/>
                <w:b/>
                <w:color w:val="auto"/>
                <w:sz w:val="24"/>
                <w:highlight w:val="none"/>
                <w:lang w:val="en-US" w:eastAsia="zh-CN"/>
              </w:rPr>
              <w:t>200米路北</w:t>
            </w:r>
          </w:p>
          <w:p>
            <w:pPr>
              <w:adjustRightInd w:val="0"/>
              <w:snapToGrid w:val="0"/>
              <w:spacing w:line="276" w:lineRule="auto"/>
              <w:ind w:left="1058" w:leftChars="47" w:right="105" w:rightChars="50" w:hanging="959" w:hangingChars="398"/>
              <w:rPr>
                <w:rFonts w:hint="default" w:ascii="宋体" w:hAnsi="宋体" w:eastAsia="宋体" w:cs="Arial"/>
                <w:color w:val="2E74B5"/>
                <w:sz w:val="24"/>
                <w:highlight w:val="yellow"/>
                <w:lang w:val="en-US" w:eastAsia="zh-CN"/>
              </w:rPr>
            </w:pPr>
            <w:r>
              <w:rPr>
                <w:rFonts w:hint="eastAsia" w:ascii="宋体" w:hAnsi="宋体" w:cs="Arial"/>
                <w:b/>
                <w:color w:val="auto"/>
                <w:sz w:val="24"/>
                <w:highlight w:val="none"/>
              </w:rPr>
              <w:t>工    期：2021年</w:t>
            </w:r>
            <w:r>
              <w:rPr>
                <w:rFonts w:hint="eastAsia" w:ascii="宋体" w:hAnsi="宋体" w:cs="Arial"/>
                <w:b/>
                <w:color w:val="auto"/>
                <w:sz w:val="24"/>
                <w:highlight w:val="none"/>
                <w:lang w:val="en-US" w:eastAsia="zh-CN"/>
              </w:rPr>
              <w:t>12</w:t>
            </w:r>
            <w:r>
              <w:rPr>
                <w:rFonts w:hint="eastAsia" w:ascii="宋体" w:hAnsi="宋体" w:cs="Arial"/>
                <w:b/>
                <w:color w:val="auto"/>
                <w:sz w:val="24"/>
                <w:highlight w:val="none"/>
              </w:rPr>
              <w:t>月</w:t>
            </w:r>
            <w:r>
              <w:rPr>
                <w:rFonts w:hint="eastAsia" w:ascii="宋体" w:hAnsi="宋体" w:cs="Arial"/>
                <w:b/>
                <w:color w:val="auto"/>
                <w:sz w:val="24"/>
                <w:highlight w:val="none"/>
                <w:lang w:val="en-US" w:eastAsia="zh-CN"/>
              </w:rPr>
              <w:t xml:space="preserve">  </w:t>
            </w:r>
            <w:r>
              <w:rPr>
                <w:rFonts w:hint="eastAsia" w:ascii="宋体" w:hAnsi="宋体" w:cs="Arial"/>
                <w:b/>
                <w:color w:val="auto"/>
                <w:sz w:val="24"/>
                <w:highlight w:val="none"/>
              </w:rPr>
              <w:t>日至2021年</w:t>
            </w:r>
            <w:r>
              <w:rPr>
                <w:rFonts w:hint="eastAsia" w:ascii="宋体" w:hAnsi="宋体" w:cs="Arial"/>
                <w:b/>
                <w:color w:val="auto"/>
                <w:sz w:val="24"/>
                <w:highlight w:val="none"/>
                <w:lang w:val="en-US" w:eastAsia="zh-CN"/>
              </w:rPr>
              <w:t>12</w:t>
            </w:r>
            <w:r>
              <w:rPr>
                <w:rFonts w:hint="eastAsia" w:ascii="宋体" w:hAnsi="宋体" w:cs="Arial"/>
                <w:b/>
                <w:color w:val="auto"/>
                <w:sz w:val="24"/>
                <w:highlight w:val="none"/>
              </w:rPr>
              <w:t>月</w:t>
            </w:r>
            <w:r>
              <w:rPr>
                <w:rFonts w:hint="eastAsia" w:ascii="宋体" w:hAnsi="宋体" w:cs="Arial"/>
                <w:b/>
                <w:color w:val="auto"/>
                <w:sz w:val="24"/>
                <w:highlight w:val="none"/>
                <w:lang w:val="en-US" w:eastAsia="zh-CN"/>
              </w:rPr>
              <w:t xml:space="preserve"> </w:t>
            </w:r>
            <w:r>
              <w:rPr>
                <w:rFonts w:hint="eastAsia" w:ascii="宋体" w:hAnsi="宋体" w:cs="Arial"/>
                <w:b/>
                <w:color w:val="auto"/>
                <w:sz w:val="24"/>
                <w:highlight w:val="none"/>
              </w:rPr>
              <w:t xml:space="preserve"> 日</w:t>
            </w:r>
            <w:r>
              <w:rPr>
                <w:rFonts w:hint="eastAsia" w:ascii="宋体" w:hAnsi="宋体" w:cs="Arial"/>
                <w:b/>
                <w:color w:val="auto"/>
                <w:sz w:val="24"/>
                <w:highlight w:val="none"/>
                <w:lang w:eastAsia="zh-CN"/>
              </w:rPr>
              <w:t>。施工要求时间：</w:t>
            </w:r>
            <w:r>
              <w:rPr>
                <w:rFonts w:hint="eastAsia" w:ascii="宋体" w:hAnsi="宋体" w:cs="Arial"/>
                <w:b/>
                <w:bCs w:val="0"/>
                <w:color w:val="auto"/>
                <w:sz w:val="24"/>
                <w:highlight w:val="none"/>
                <w:u w:val="single"/>
                <w:lang w:val="en-US" w:eastAsia="zh-CN"/>
              </w:rPr>
              <w:t>72小时内必须完工。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939" w:type="dxa"/>
            <w:tcBorders>
              <w:left w:val="double" w:color="auto" w:sz="4" w:space="0"/>
              <w:bottom w:val="single" w:color="auto" w:sz="4" w:space="0"/>
            </w:tcBorders>
            <w:vAlign w:val="center"/>
          </w:tcPr>
          <w:p>
            <w:pPr>
              <w:adjustRightInd w:val="0"/>
              <w:snapToGrid w:val="0"/>
              <w:ind w:left="105" w:leftChars="50" w:right="105" w:rightChars="50"/>
              <w:jc w:val="center"/>
              <w:rPr>
                <w:rFonts w:ascii="宋体" w:hAnsi="宋体" w:cs="Arial"/>
                <w:color w:val="000000"/>
                <w:sz w:val="24"/>
                <w:highlight w:val="none"/>
              </w:rPr>
            </w:pPr>
            <w:r>
              <w:rPr>
                <w:rFonts w:hint="eastAsia" w:ascii="宋体" w:hAnsi="宋体" w:cs="Arial"/>
                <w:color w:val="000000"/>
                <w:sz w:val="24"/>
                <w:highlight w:val="none"/>
              </w:rPr>
              <w:t>2</w:t>
            </w:r>
          </w:p>
        </w:tc>
        <w:tc>
          <w:tcPr>
            <w:tcW w:w="8375" w:type="dxa"/>
            <w:tcBorders>
              <w:bottom w:val="single" w:color="auto" w:sz="4" w:space="0"/>
              <w:right w:val="double" w:color="auto" w:sz="4" w:space="0"/>
            </w:tcBorders>
            <w:vAlign w:val="center"/>
          </w:tcPr>
          <w:p>
            <w:pPr>
              <w:adjustRightInd w:val="0"/>
              <w:snapToGrid w:val="0"/>
              <w:spacing w:line="276" w:lineRule="auto"/>
              <w:ind w:left="1054" w:leftChars="47" w:right="105" w:rightChars="50" w:hanging="955" w:hangingChars="398"/>
              <w:rPr>
                <w:rFonts w:hint="default" w:ascii="宋体" w:hAnsi="宋体" w:eastAsia="宋体" w:cs="Arial"/>
                <w:sz w:val="24"/>
                <w:highlight w:val="none"/>
                <w:lang w:val="en-US" w:eastAsia="zh-CN"/>
              </w:rPr>
            </w:pPr>
            <w:r>
              <w:rPr>
                <w:rFonts w:hint="eastAsia" w:ascii="宋体" w:hAnsi="宋体" w:cs="Arial"/>
                <w:sz w:val="24"/>
                <w:highlight w:val="none"/>
              </w:rPr>
              <w:t>联系人：</w:t>
            </w:r>
            <w:r>
              <w:rPr>
                <w:rFonts w:hint="eastAsia" w:ascii="宋体" w:hAnsi="宋体" w:cs="Arial"/>
                <w:sz w:val="24"/>
                <w:highlight w:val="none"/>
                <w:lang w:eastAsia="zh-CN"/>
              </w:rPr>
              <w:t>常小姐</w:t>
            </w:r>
            <w:r>
              <w:rPr>
                <w:rFonts w:hint="eastAsia" w:ascii="宋体" w:hAnsi="宋体" w:cs="Arial"/>
                <w:sz w:val="24"/>
                <w:highlight w:val="none"/>
                <w:lang w:val="en-US" w:eastAsia="zh-CN"/>
              </w:rPr>
              <w:t xml:space="preserve">   </w:t>
            </w:r>
          </w:p>
          <w:p>
            <w:pPr>
              <w:adjustRightInd w:val="0"/>
              <w:snapToGrid w:val="0"/>
              <w:spacing w:line="276" w:lineRule="auto"/>
              <w:ind w:left="1054" w:leftChars="47" w:right="105" w:rightChars="50" w:hanging="955" w:hangingChars="398"/>
              <w:rPr>
                <w:rFonts w:hint="default" w:ascii="宋体" w:hAnsi="宋体" w:eastAsia="宋体" w:cs="Arial"/>
                <w:sz w:val="24"/>
                <w:highlight w:val="none"/>
                <w:lang w:val="en-US" w:eastAsia="zh-CN"/>
              </w:rPr>
            </w:pPr>
            <w:r>
              <w:rPr>
                <w:rFonts w:hint="eastAsia" w:ascii="宋体" w:hAnsi="宋体" w:cs="Arial"/>
                <w:sz w:val="24"/>
                <w:highlight w:val="none"/>
              </w:rPr>
              <w:t>电话：</w:t>
            </w:r>
            <w:r>
              <w:rPr>
                <w:rFonts w:hint="eastAsia" w:ascii="宋体" w:hAnsi="宋体" w:cs="Arial"/>
                <w:sz w:val="24"/>
                <w:highlight w:val="none"/>
                <w:lang w:val="en-US" w:eastAsia="zh-CN"/>
              </w:rPr>
              <w:t>5258060</w:t>
            </w:r>
          </w:p>
          <w:p>
            <w:pPr>
              <w:adjustRightInd w:val="0"/>
              <w:snapToGrid w:val="0"/>
              <w:spacing w:line="276" w:lineRule="auto"/>
              <w:ind w:left="1054" w:leftChars="47" w:right="105" w:rightChars="50" w:hanging="955" w:hangingChars="398"/>
              <w:rPr>
                <w:rFonts w:ascii="宋体" w:hAnsi="宋体" w:cs="Arial"/>
                <w:sz w:val="24"/>
                <w:highlight w:val="none"/>
              </w:rPr>
            </w:pPr>
            <w:r>
              <w:rPr>
                <w:rFonts w:hint="eastAsia" w:ascii="宋体" w:hAnsi="宋体" w:cs="Arial"/>
                <w:sz w:val="24"/>
                <w:highlight w:val="none"/>
              </w:rPr>
              <w:t>E-mail：</w:t>
            </w:r>
          </w:p>
          <w:p>
            <w:pPr>
              <w:adjustRightInd w:val="0"/>
              <w:snapToGrid w:val="0"/>
              <w:spacing w:line="276" w:lineRule="auto"/>
              <w:ind w:left="97" w:leftChars="46" w:right="105" w:rightChars="50" w:firstLine="2" w:firstLineChars="1"/>
              <w:rPr>
                <w:rFonts w:ascii="宋体" w:hAnsi="宋体" w:cs="Arial"/>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939" w:type="dxa"/>
            <w:tcBorders>
              <w:top w:val="single" w:color="auto" w:sz="4" w:space="0"/>
              <w:left w:val="double" w:color="auto" w:sz="4" w:space="0"/>
            </w:tcBorders>
            <w:vAlign w:val="center"/>
          </w:tcPr>
          <w:p>
            <w:pPr>
              <w:adjustRightInd w:val="0"/>
              <w:snapToGrid w:val="0"/>
              <w:ind w:left="105" w:leftChars="50" w:right="105" w:rightChars="50"/>
              <w:jc w:val="center"/>
              <w:rPr>
                <w:rFonts w:ascii="宋体" w:hAnsi="宋体" w:cs="Arial"/>
                <w:color w:val="000000"/>
                <w:sz w:val="24"/>
                <w:highlight w:val="none"/>
              </w:rPr>
            </w:pPr>
            <w:r>
              <w:rPr>
                <w:rFonts w:hint="eastAsia" w:ascii="宋体" w:hAnsi="宋体" w:cs="Arial"/>
                <w:color w:val="000000"/>
                <w:sz w:val="24"/>
                <w:highlight w:val="none"/>
              </w:rPr>
              <w:t>3</w:t>
            </w:r>
          </w:p>
        </w:tc>
        <w:tc>
          <w:tcPr>
            <w:tcW w:w="8375" w:type="dxa"/>
            <w:tcBorders>
              <w:top w:val="single" w:color="auto" w:sz="4" w:space="0"/>
              <w:right w:val="double" w:color="auto" w:sz="4" w:space="0"/>
            </w:tcBorders>
            <w:vAlign w:val="center"/>
          </w:tcPr>
          <w:p>
            <w:pPr>
              <w:adjustRightInd w:val="0"/>
              <w:snapToGrid w:val="0"/>
              <w:spacing w:line="276" w:lineRule="auto"/>
              <w:ind w:left="105" w:leftChars="50" w:right="105" w:rightChars="50"/>
              <w:rPr>
                <w:rFonts w:ascii="宋体" w:hAnsi="宋体" w:cs="Arial"/>
                <w:b/>
                <w:sz w:val="24"/>
                <w:highlight w:val="none"/>
              </w:rPr>
            </w:pPr>
            <w:r>
              <w:rPr>
                <w:rFonts w:hint="eastAsia" w:ascii="宋体" w:hAnsi="宋体" w:cs="Arial"/>
                <w:b/>
                <w:sz w:val="24"/>
                <w:highlight w:val="none"/>
              </w:rPr>
              <w:t>现场踏勘：采购人不统一组织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7" w:hRule="atLeast"/>
          <w:jc w:val="center"/>
        </w:trPr>
        <w:tc>
          <w:tcPr>
            <w:tcW w:w="939" w:type="dxa"/>
            <w:tcBorders>
              <w:top w:val="single" w:color="auto" w:sz="4" w:space="0"/>
              <w:left w:val="double" w:color="auto" w:sz="4" w:space="0"/>
            </w:tcBorders>
            <w:vAlign w:val="center"/>
          </w:tcPr>
          <w:p>
            <w:pPr>
              <w:adjustRightInd w:val="0"/>
              <w:snapToGrid w:val="0"/>
              <w:ind w:left="105" w:leftChars="50" w:right="105" w:rightChars="50"/>
              <w:jc w:val="center"/>
              <w:rPr>
                <w:rFonts w:ascii="宋体" w:hAnsi="宋体" w:cs="Arial"/>
                <w:sz w:val="24"/>
                <w:highlight w:val="none"/>
              </w:rPr>
            </w:pPr>
            <w:r>
              <w:rPr>
                <w:rFonts w:hint="eastAsia" w:ascii="宋体" w:hAnsi="宋体" w:cs="Arial"/>
                <w:sz w:val="24"/>
                <w:highlight w:val="none"/>
              </w:rPr>
              <w:t>4</w:t>
            </w:r>
          </w:p>
        </w:tc>
        <w:tc>
          <w:tcPr>
            <w:tcW w:w="8375" w:type="dxa"/>
            <w:tcBorders>
              <w:top w:val="single" w:color="auto" w:sz="4" w:space="0"/>
              <w:right w:val="double" w:color="auto" w:sz="4" w:space="0"/>
            </w:tcBorders>
            <w:vAlign w:val="center"/>
          </w:tcPr>
          <w:p>
            <w:pPr>
              <w:adjustRightInd w:val="0"/>
              <w:snapToGrid w:val="0"/>
              <w:spacing w:line="276" w:lineRule="auto"/>
              <w:ind w:left="105" w:leftChars="50" w:right="105" w:rightChars="50"/>
              <w:rPr>
                <w:rFonts w:ascii="宋体" w:hAnsi="宋体" w:cs="Arial"/>
                <w:b/>
                <w:i/>
                <w:color w:val="FF0000"/>
                <w:sz w:val="28"/>
                <w:highlight w:val="none"/>
              </w:rPr>
            </w:pPr>
            <w:r>
              <w:rPr>
                <w:rFonts w:hint="eastAsia" w:ascii="宋体" w:hAnsi="宋体" w:cs="Arial"/>
                <w:b/>
                <w:sz w:val="24"/>
                <w:highlight w:val="none"/>
              </w:rPr>
              <w:t>应答保证金：</w:t>
            </w:r>
            <w:r>
              <w:rPr>
                <w:rFonts w:hint="eastAsia" w:ascii="宋体" w:hAnsi="宋体" w:cs="Arial"/>
                <w:b/>
                <w:sz w:val="24"/>
                <w:highlight w:val="none"/>
                <w:lang w:val="en-US" w:eastAsia="zh-CN"/>
              </w:rPr>
              <w:t>7万</w:t>
            </w:r>
            <w:r>
              <w:rPr>
                <w:rFonts w:hint="eastAsia" w:ascii="宋体" w:hAnsi="宋体" w:cs="Arial"/>
                <w:sz w:val="24"/>
                <w:highlight w:val="none"/>
              </w:rPr>
              <w:t>元人民币，应答保证金必须在</w:t>
            </w:r>
            <w:r>
              <w:rPr>
                <w:rFonts w:hint="eastAsia" w:ascii="宋体" w:hAnsi="宋体" w:cs="Arial"/>
                <w:sz w:val="24"/>
                <w:highlight w:val="none"/>
                <w:lang w:eastAsia="zh-CN"/>
              </w:rPr>
              <w:t>招标办</w:t>
            </w:r>
            <w:r>
              <w:rPr>
                <w:rFonts w:hint="eastAsia" w:ascii="宋体" w:hAnsi="宋体" w:cs="Arial"/>
                <w:sz w:val="24"/>
                <w:highlight w:val="none"/>
              </w:rPr>
              <w:t>公开询价截止时间前以应答人基本账户转账（不允许以个人名义或其他公司名义代缴纳），否则按废除处理。</w:t>
            </w:r>
            <w:r>
              <w:rPr>
                <w:rFonts w:hint="eastAsia" w:ascii="宋体" w:hAnsi="宋体" w:cs="Arial"/>
                <w:b/>
                <w:i/>
                <w:color w:val="FF0000"/>
                <w:sz w:val="28"/>
                <w:highlight w:val="none"/>
              </w:rPr>
              <w:t>对未按要求缴纳保证金的应答人，造成保证金退换困难的，由应答人自行负责。</w:t>
            </w:r>
          </w:p>
          <w:p>
            <w:pPr>
              <w:adjustRightInd w:val="0"/>
              <w:snapToGrid w:val="0"/>
              <w:spacing w:line="276" w:lineRule="auto"/>
              <w:ind w:left="105" w:leftChars="50" w:right="105" w:rightChars="50"/>
              <w:rPr>
                <w:rFonts w:ascii="宋体" w:hAnsi="宋体" w:cs="Arial"/>
                <w:b/>
                <w:i/>
                <w:color w:val="FF0000"/>
                <w:sz w:val="28"/>
                <w:highlight w:val="none"/>
              </w:rPr>
            </w:pPr>
            <w:r>
              <w:rPr>
                <w:rFonts w:hint="eastAsia" w:ascii="宋体" w:hAnsi="宋体" w:cs="Arial"/>
                <w:b/>
                <w:i/>
                <w:color w:val="FF0000"/>
                <w:sz w:val="28"/>
                <w:highlight w:val="none"/>
              </w:rPr>
              <w:t>特别提醒：转账时请务必备注采购单编号，退保证金用，很重要！！！!</w:t>
            </w:r>
          </w:p>
          <w:p>
            <w:pPr>
              <w:adjustRightInd w:val="0"/>
              <w:snapToGrid w:val="0"/>
              <w:spacing w:line="276" w:lineRule="auto"/>
              <w:ind w:left="105" w:leftChars="50" w:right="105" w:rightChars="50"/>
              <w:rPr>
                <w:rFonts w:ascii="宋体" w:hAnsi="宋体" w:cs="Arial"/>
                <w:b/>
                <w:sz w:val="24"/>
                <w:highlight w:val="none"/>
              </w:rPr>
            </w:pPr>
            <w:r>
              <w:rPr>
                <w:rFonts w:hint="eastAsia" w:ascii="宋体" w:hAnsi="宋体" w:cs="Arial"/>
                <w:b/>
                <w:sz w:val="24"/>
                <w:highlight w:val="none"/>
              </w:rPr>
              <w:t>保证金递交处：（电汇）</w:t>
            </w:r>
          </w:p>
          <w:p>
            <w:pPr>
              <w:spacing w:line="540" w:lineRule="exact"/>
              <w:rPr>
                <w:rFonts w:hint="eastAsia" w:eastAsia="宋体"/>
                <w:sz w:val="28"/>
                <w:szCs w:val="28"/>
                <w:lang w:eastAsia="zh-CN"/>
              </w:rPr>
            </w:pPr>
            <w:r>
              <w:rPr>
                <w:rFonts w:hint="eastAsia"/>
                <w:sz w:val="28"/>
                <w:szCs w:val="28"/>
              </w:rPr>
              <w:t>户名：</w:t>
            </w:r>
            <w:r>
              <w:rPr>
                <w:rFonts w:hint="eastAsia"/>
                <w:sz w:val="28"/>
                <w:szCs w:val="28"/>
                <w:lang w:eastAsia="zh-CN"/>
              </w:rPr>
              <w:t>岷山环能高科股份公司</w:t>
            </w:r>
          </w:p>
          <w:p>
            <w:pPr>
              <w:spacing w:line="540" w:lineRule="exact"/>
              <w:rPr>
                <w:sz w:val="28"/>
                <w:szCs w:val="28"/>
              </w:rPr>
            </w:pPr>
            <w:r>
              <w:rPr>
                <w:rFonts w:hint="eastAsia"/>
                <w:sz w:val="28"/>
                <w:szCs w:val="28"/>
              </w:rPr>
              <w:t>账户：4910</w:t>
            </w:r>
            <w:r>
              <w:rPr>
                <w:sz w:val="28"/>
                <w:szCs w:val="28"/>
              </w:rPr>
              <w:t xml:space="preserve"> </w:t>
            </w:r>
            <w:r>
              <w:rPr>
                <w:rFonts w:hint="eastAsia"/>
                <w:sz w:val="28"/>
                <w:szCs w:val="28"/>
              </w:rPr>
              <w:t>0000</w:t>
            </w:r>
            <w:r>
              <w:rPr>
                <w:sz w:val="28"/>
                <w:szCs w:val="28"/>
              </w:rPr>
              <w:t xml:space="preserve"> </w:t>
            </w:r>
            <w:r>
              <w:rPr>
                <w:rFonts w:hint="eastAsia"/>
                <w:sz w:val="28"/>
                <w:szCs w:val="28"/>
              </w:rPr>
              <w:t>1012</w:t>
            </w:r>
            <w:r>
              <w:rPr>
                <w:sz w:val="28"/>
                <w:szCs w:val="28"/>
              </w:rPr>
              <w:t xml:space="preserve"> </w:t>
            </w:r>
            <w:r>
              <w:rPr>
                <w:rFonts w:hint="eastAsia"/>
                <w:sz w:val="28"/>
                <w:szCs w:val="28"/>
              </w:rPr>
              <w:t>0100</w:t>
            </w:r>
            <w:r>
              <w:rPr>
                <w:sz w:val="28"/>
                <w:szCs w:val="28"/>
              </w:rPr>
              <w:t xml:space="preserve"> </w:t>
            </w:r>
            <w:r>
              <w:rPr>
                <w:rFonts w:hint="eastAsia"/>
                <w:sz w:val="28"/>
                <w:szCs w:val="28"/>
              </w:rPr>
              <w:t>121563</w:t>
            </w:r>
          </w:p>
          <w:p>
            <w:pPr>
              <w:spacing w:line="540" w:lineRule="exact"/>
              <w:rPr>
                <w:rFonts w:ascii="宋体" w:hAnsi="宋体" w:cs="Arial"/>
                <w:sz w:val="24"/>
                <w:highlight w:val="none"/>
              </w:rPr>
            </w:pPr>
            <w:r>
              <w:rPr>
                <w:rFonts w:hint="eastAsia"/>
                <w:sz w:val="28"/>
                <w:szCs w:val="28"/>
              </w:rPr>
              <w:t>开户行：浙商银行郑州分行营业部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939" w:type="dxa"/>
            <w:tcBorders>
              <w:left w:val="double" w:color="auto" w:sz="4" w:space="0"/>
            </w:tcBorders>
            <w:vAlign w:val="center"/>
          </w:tcPr>
          <w:p>
            <w:pPr>
              <w:adjustRightInd w:val="0"/>
              <w:snapToGrid w:val="0"/>
              <w:ind w:left="105" w:leftChars="50" w:right="105" w:rightChars="50"/>
              <w:jc w:val="center"/>
              <w:rPr>
                <w:rFonts w:ascii="宋体" w:hAnsi="宋体" w:cs="Arial"/>
                <w:sz w:val="24"/>
                <w:highlight w:val="none"/>
              </w:rPr>
            </w:pPr>
            <w:r>
              <w:rPr>
                <w:rFonts w:hint="eastAsia" w:ascii="宋体" w:hAnsi="宋体" w:cs="Arial"/>
                <w:sz w:val="24"/>
                <w:highlight w:val="none"/>
              </w:rPr>
              <w:t>5</w:t>
            </w:r>
          </w:p>
        </w:tc>
        <w:tc>
          <w:tcPr>
            <w:tcW w:w="8375" w:type="dxa"/>
            <w:tcBorders>
              <w:right w:val="double" w:color="auto" w:sz="4" w:space="0"/>
            </w:tcBorders>
            <w:vAlign w:val="center"/>
          </w:tcPr>
          <w:p>
            <w:pPr>
              <w:adjustRightInd w:val="0"/>
              <w:snapToGrid w:val="0"/>
              <w:spacing w:line="276" w:lineRule="auto"/>
              <w:ind w:left="105" w:leftChars="50" w:right="105" w:rightChars="50"/>
              <w:rPr>
                <w:rFonts w:ascii="宋体" w:hAnsi="宋体" w:cs="宋体"/>
                <w:kern w:val="0"/>
                <w:sz w:val="24"/>
                <w:highlight w:val="none"/>
              </w:rPr>
            </w:pPr>
            <w:r>
              <w:rPr>
                <w:rFonts w:hint="eastAsia" w:ascii="宋体" w:hAnsi="宋体" w:cs="Arial"/>
                <w:b/>
                <w:sz w:val="24"/>
                <w:highlight w:val="none"/>
              </w:rPr>
              <w:t>应答文件的名称与数量：</w:t>
            </w:r>
            <w:r>
              <w:rPr>
                <w:rFonts w:hint="eastAsia" w:ascii="宋体" w:hAnsi="宋体" w:cs="宋体"/>
                <w:kern w:val="0"/>
                <w:sz w:val="24"/>
                <w:highlight w:val="none"/>
              </w:rPr>
              <w:t>应答文件必须按照下列要求分三部分上传</w:t>
            </w:r>
          </w:p>
          <w:p>
            <w:pPr>
              <w:numPr>
                <w:ilvl w:val="0"/>
                <w:numId w:val="5"/>
              </w:numPr>
              <w:adjustRightInd w:val="0"/>
              <w:snapToGrid w:val="0"/>
              <w:spacing w:line="276" w:lineRule="auto"/>
              <w:ind w:right="105" w:rightChars="50"/>
              <w:rPr>
                <w:rFonts w:ascii="宋体" w:hAnsi="宋体" w:cs="宋体"/>
                <w:kern w:val="0"/>
                <w:sz w:val="24"/>
                <w:highlight w:val="none"/>
              </w:rPr>
            </w:pPr>
            <w:r>
              <w:rPr>
                <w:rFonts w:hint="eastAsia" w:ascii="宋体" w:hAnsi="宋体" w:cs="宋体"/>
                <w:kern w:val="0"/>
                <w:sz w:val="24"/>
                <w:highlight w:val="none"/>
              </w:rPr>
              <w:t>xx公司商务应答文件；</w:t>
            </w:r>
          </w:p>
          <w:p>
            <w:pPr>
              <w:numPr>
                <w:ilvl w:val="0"/>
                <w:numId w:val="5"/>
              </w:numPr>
              <w:adjustRightInd w:val="0"/>
              <w:snapToGrid w:val="0"/>
              <w:spacing w:line="276" w:lineRule="auto"/>
              <w:ind w:right="105" w:rightChars="50"/>
              <w:rPr>
                <w:rFonts w:ascii="宋体" w:hAnsi="宋体" w:cs="Arial"/>
                <w:sz w:val="24"/>
                <w:highlight w:val="none"/>
              </w:rPr>
            </w:pPr>
            <w:r>
              <w:rPr>
                <w:rFonts w:hint="eastAsia" w:ascii="宋体" w:hAnsi="宋体" w:cs="宋体"/>
                <w:kern w:val="0"/>
                <w:sz w:val="24"/>
                <w:highlight w:val="none"/>
              </w:rPr>
              <w:t>xx公司技术应答文件；</w:t>
            </w:r>
          </w:p>
          <w:p>
            <w:pPr>
              <w:numPr>
                <w:ilvl w:val="0"/>
                <w:numId w:val="5"/>
              </w:numPr>
              <w:adjustRightInd w:val="0"/>
              <w:snapToGrid w:val="0"/>
              <w:spacing w:line="276" w:lineRule="auto"/>
              <w:ind w:right="105" w:rightChars="50"/>
              <w:rPr>
                <w:rFonts w:ascii="宋体" w:hAnsi="宋体" w:cs="Arial"/>
                <w:sz w:val="24"/>
                <w:highlight w:val="none"/>
              </w:rPr>
            </w:pPr>
            <w:r>
              <w:rPr>
                <w:rFonts w:hint="eastAsia" w:ascii="宋体" w:hAnsi="宋体" w:cs="宋体"/>
                <w:kern w:val="0"/>
                <w:sz w:val="24"/>
                <w:highlight w:val="none"/>
              </w:rPr>
              <w:t>xx公司报价文件。</w:t>
            </w:r>
            <w:r>
              <w:rPr>
                <w:rFonts w:hint="eastAsia" w:ascii="宋体" w:hAnsi="宋体" w:cs="Arial"/>
                <w:sz w:val="24"/>
                <w:highlight w:val="none"/>
              </w:rPr>
              <w:t>（另附EXCEL版本的报价清单文件。</w:t>
            </w:r>
            <w:r>
              <w:rPr>
                <w:rFonts w:ascii="宋体" w:hAnsi="宋体" w:cs="Arial"/>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939" w:type="dxa"/>
            <w:tcBorders>
              <w:left w:val="double" w:color="auto" w:sz="4" w:space="0"/>
            </w:tcBorders>
            <w:vAlign w:val="center"/>
          </w:tcPr>
          <w:p>
            <w:pPr>
              <w:adjustRightInd w:val="0"/>
              <w:snapToGrid w:val="0"/>
              <w:ind w:left="105" w:leftChars="50" w:right="105" w:rightChars="50"/>
              <w:jc w:val="center"/>
              <w:rPr>
                <w:rFonts w:ascii="宋体" w:hAnsi="宋体" w:cs="Arial"/>
                <w:sz w:val="24"/>
                <w:highlight w:val="yellow"/>
              </w:rPr>
            </w:pPr>
            <w:r>
              <w:rPr>
                <w:rFonts w:hint="eastAsia" w:ascii="宋体" w:hAnsi="宋体" w:cs="Arial"/>
                <w:sz w:val="24"/>
                <w:highlight w:val="none"/>
              </w:rPr>
              <w:t>6</w:t>
            </w:r>
          </w:p>
        </w:tc>
        <w:tc>
          <w:tcPr>
            <w:tcW w:w="8375" w:type="dxa"/>
            <w:tcBorders>
              <w:right w:val="double" w:color="auto" w:sz="4" w:space="0"/>
            </w:tcBorders>
            <w:vAlign w:val="center"/>
          </w:tcPr>
          <w:p>
            <w:pPr>
              <w:adjustRightInd w:val="0"/>
              <w:snapToGrid w:val="0"/>
              <w:spacing w:line="276" w:lineRule="auto"/>
              <w:ind w:left="105" w:leftChars="50" w:right="105" w:rightChars="50"/>
              <w:rPr>
                <w:rFonts w:ascii="宋体" w:hAnsi="宋体" w:cs="Arial"/>
                <w:sz w:val="24"/>
                <w:highlight w:val="none"/>
                <w:u w:val="single"/>
              </w:rPr>
            </w:pPr>
            <w:r>
              <w:rPr>
                <w:rFonts w:hint="eastAsia" w:ascii="宋体" w:hAnsi="宋体" w:cs="Arial"/>
                <w:b/>
                <w:sz w:val="24"/>
                <w:highlight w:val="none"/>
              </w:rPr>
              <w:t>应答报价截止时间：</w:t>
            </w:r>
            <w:r>
              <w:rPr>
                <w:rFonts w:hint="eastAsia" w:ascii="宋体" w:hAnsi="宋体" w:cs="Arial"/>
                <w:b w:val="0"/>
                <w:bCs/>
                <w:sz w:val="24"/>
                <w:highlight w:val="none"/>
              </w:rPr>
              <w:t>岷山</w:t>
            </w:r>
            <w:r>
              <w:rPr>
                <w:rFonts w:hint="eastAsia" w:ascii="宋体" w:hAnsi="宋体" w:cs="Arial"/>
                <w:b w:val="0"/>
                <w:bCs/>
                <w:sz w:val="24"/>
                <w:highlight w:val="none"/>
                <w:lang w:eastAsia="zh-CN"/>
              </w:rPr>
              <w:t>环能高科股份</w:t>
            </w:r>
            <w:r>
              <w:rPr>
                <w:rFonts w:hint="eastAsia" w:ascii="宋体" w:hAnsi="宋体" w:cs="Arial"/>
                <w:b w:val="0"/>
                <w:bCs/>
                <w:sz w:val="24"/>
                <w:highlight w:val="none"/>
              </w:rPr>
              <w:t>公</w:t>
            </w:r>
            <w:r>
              <w:rPr>
                <w:rFonts w:hint="eastAsia" w:ascii="宋体" w:hAnsi="宋体" w:cs="Arial"/>
                <w:b/>
                <w:bCs w:val="0"/>
                <w:color w:val="auto"/>
                <w:sz w:val="24"/>
                <w:highlight w:val="none"/>
              </w:rPr>
              <w:t>司</w:t>
            </w:r>
            <w:r>
              <w:rPr>
                <w:rFonts w:hint="eastAsia" w:ascii="宋体" w:hAnsi="宋体" w:cs="Arial"/>
                <w:b/>
                <w:bCs w:val="0"/>
                <w:color w:val="auto"/>
                <w:sz w:val="24"/>
                <w:szCs w:val="24"/>
                <w:highlight w:val="none"/>
                <w:u w:val="single"/>
                <w:shd w:val="clear" w:fill="000000"/>
              </w:rPr>
              <w:t>记载时间为准</w:t>
            </w:r>
            <w:r>
              <w:rPr>
                <w:rFonts w:hint="eastAsia" w:ascii="宋体" w:hAnsi="宋体" w:cs="Arial"/>
                <w:b/>
                <w:bCs w:val="0"/>
                <w:color w:val="auto"/>
                <w:sz w:val="24"/>
                <w:szCs w:val="24"/>
                <w:highlight w:val="none"/>
                <w:u w:val="single"/>
              </w:rPr>
              <w:t>。</w:t>
            </w:r>
          </w:p>
          <w:p>
            <w:pPr>
              <w:adjustRightInd w:val="0"/>
              <w:snapToGrid w:val="0"/>
              <w:spacing w:line="276" w:lineRule="auto"/>
              <w:ind w:left="105" w:leftChars="50" w:right="105" w:rightChars="50"/>
              <w:rPr>
                <w:rFonts w:ascii="宋体" w:hAnsi="宋体" w:cs="Arial"/>
                <w:sz w:val="24"/>
                <w:highlight w:val="none"/>
                <w:u w:val="single"/>
              </w:rPr>
            </w:pPr>
            <w:r>
              <w:rPr>
                <w:rFonts w:hint="eastAsia" w:ascii="宋体" w:hAnsi="宋体" w:cs="Arial"/>
                <w:b/>
                <w:sz w:val="24"/>
                <w:highlight w:val="none"/>
              </w:rPr>
              <w:t>应答文件提交截止时间：</w:t>
            </w:r>
            <w:r>
              <w:rPr>
                <w:rFonts w:hint="eastAsia" w:ascii="宋体" w:hAnsi="宋体" w:cs="Arial"/>
                <w:b w:val="0"/>
                <w:bCs/>
                <w:sz w:val="24"/>
                <w:highlight w:val="none"/>
              </w:rPr>
              <w:t>岷山</w:t>
            </w:r>
            <w:r>
              <w:rPr>
                <w:rFonts w:hint="eastAsia" w:ascii="宋体" w:hAnsi="宋体" w:cs="Arial"/>
                <w:b w:val="0"/>
                <w:bCs/>
                <w:sz w:val="24"/>
                <w:highlight w:val="none"/>
                <w:lang w:eastAsia="zh-CN"/>
              </w:rPr>
              <w:t>环能高科股份</w:t>
            </w:r>
            <w:r>
              <w:rPr>
                <w:rFonts w:hint="eastAsia" w:ascii="宋体" w:hAnsi="宋体" w:cs="Arial"/>
                <w:b w:val="0"/>
                <w:bCs/>
                <w:sz w:val="24"/>
                <w:highlight w:val="none"/>
              </w:rPr>
              <w:t>公司</w:t>
            </w:r>
            <w:r>
              <w:rPr>
                <w:rFonts w:hint="eastAsia" w:ascii="宋体" w:hAnsi="宋体" w:cs="Arial"/>
                <w:sz w:val="24"/>
                <w:highlight w:val="none"/>
                <w:u w:val="single"/>
              </w:rPr>
              <w:t>以记载时间为准。</w:t>
            </w:r>
          </w:p>
          <w:p>
            <w:pPr>
              <w:adjustRightInd w:val="0"/>
              <w:snapToGrid w:val="0"/>
              <w:spacing w:line="276" w:lineRule="auto"/>
              <w:ind w:left="1758" w:leftChars="50" w:right="105" w:rightChars="50" w:hanging="1653" w:hangingChars="686"/>
              <w:rPr>
                <w:rFonts w:ascii="宋体" w:hAnsi="宋体" w:cs="Arial"/>
                <w:sz w:val="24"/>
                <w:highlight w:val="none"/>
              </w:rPr>
            </w:pPr>
            <w:r>
              <w:rPr>
                <w:rFonts w:hint="eastAsia" w:ascii="宋体" w:hAnsi="宋体" w:cs="Arial"/>
                <w:b/>
                <w:sz w:val="24"/>
                <w:highlight w:val="none"/>
              </w:rPr>
              <w:t>应答文件递交处：</w:t>
            </w:r>
            <w:r>
              <w:rPr>
                <w:rFonts w:hint="eastAsia" w:ascii="宋体" w:hAnsi="宋体" w:cs="Arial"/>
                <w:sz w:val="24"/>
                <w:highlight w:val="none"/>
              </w:rPr>
              <w:t>本次采购为</w:t>
            </w:r>
            <w:r>
              <w:rPr>
                <w:rFonts w:hint="eastAsia" w:ascii="宋体" w:hAnsi="宋体" w:cs="Arial"/>
                <w:sz w:val="24"/>
                <w:highlight w:val="none"/>
                <w:lang w:eastAsia="zh-CN"/>
              </w:rPr>
              <w:t>在招标办</w:t>
            </w:r>
            <w:r>
              <w:rPr>
                <w:rFonts w:hint="eastAsia" w:ascii="宋体" w:hAnsi="宋体" w:cs="Arial"/>
                <w:sz w:val="24"/>
                <w:highlight w:val="none"/>
              </w:rPr>
              <w:t>公开询价采购，采用资格后审的评审</w:t>
            </w:r>
          </w:p>
          <w:p>
            <w:pPr>
              <w:adjustRightInd w:val="0"/>
              <w:snapToGrid w:val="0"/>
              <w:spacing w:line="276" w:lineRule="auto"/>
              <w:ind w:left="2" w:right="105" w:rightChars="50" w:firstLine="103" w:firstLineChars="43"/>
              <w:rPr>
                <w:rFonts w:ascii="宋体" w:hAnsi="宋体" w:cs="Arial"/>
                <w:color w:val="FF0000"/>
                <w:sz w:val="24"/>
                <w:highlight w:val="yellow"/>
              </w:rPr>
            </w:pPr>
            <w:r>
              <w:rPr>
                <w:rFonts w:hint="eastAsia" w:ascii="宋体" w:hAnsi="宋体" w:cs="Arial"/>
                <w:sz w:val="24"/>
                <w:highlight w:val="none"/>
              </w:rPr>
              <w:t>方式。报价截止时间前在</w:t>
            </w:r>
            <w:r>
              <w:rPr>
                <w:rFonts w:hint="eastAsia" w:ascii="宋体" w:hAnsi="宋体" w:cs="Arial"/>
                <w:sz w:val="24"/>
                <w:highlight w:val="none"/>
                <w:lang w:eastAsia="zh-CN"/>
              </w:rPr>
              <w:t>招标办</w:t>
            </w:r>
            <w:r>
              <w:rPr>
                <w:rFonts w:hint="eastAsia" w:ascii="宋体" w:hAnsi="宋体" w:cs="Arial"/>
                <w:sz w:val="24"/>
                <w:highlight w:val="none"/>
              </w:rPr>
              <w:t>报价,且上传应答文件，并缴纳应答保证金，否则不予评审。</w:t>
            </w:r>
          </w:p>
        </w:tc>
      </w:tr>
    </w:tbl>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r>
        <w:rPr>
          <w:rFonts w:hint="eastAsia" w:ascii="宋体" w:hAnsi="宋体" w:eastAsia="宋体"/>
          <w:highlight w:val="yellow"/>
        </w:rPr>
        <w:br w:type="page"/>
      </w:r>
      <w:bookmarkStart w:id="0" w:name="_Toc316307084"/>
      <w:r>
        <w:rPr>
          <w:rFonts w:ascii="宋体" w:hAnsi="宋体" w:eastAsia="宋体" w:cs="Arial"/>
          <w:color w:val="000000"/>
          <w:szCs w:val="32"/>
          <w:highlight w:val="none"/>
        </w:rPr>
        <w:t>1</w:t>
      </w:r>
      <w:r>
        <w:rPr>
          <w:rFonts w:hint="eastAsia" w:ascii="宋体" w:hAnsi="宋体" w:eastAsia="宋体" w:cs="Arial"/>
          <w:color w:val="000000"/>
          <w:szCs w:val="32"/>
          <w:highlight w:val="none"/>
        </w:rPr>
        <w:t xml:space="preserve"> 定义</w:t>
      </w:r>
      <w:bookmarkEnd w:id="0"/>
    </w:p>
    <w:p>
      <w:pPr>
        <w:adjustRightInd w:val="0"/>
        <w:snapToGrid w:val="0"/>
        <w:spacing w:line="360" w:lineRule="auto"/>
        <w:ind w:left="105" w:leftChars="50" w:right="105" w:rightChars="50" w:firstLine="480" w:firstLineChars="200"/>
        <w:rPr>
          <w:rFonts w:ascii="宋体" w:hAnsi="宋体" w:cs="Arial"/>
          <w:color w:val="000000"/>
          <w:sz w:val="24"/>
          <w:highlight w:val="none"/>
        </w:rPr>
      </w:pPr>
      <w:bookmarkStart w:id="1" w:name="_Toc5076979"/>
      <w:bookmarkStart w:id="2" w:name="_Toc115689620"/>
      <w:bookmarkStart w:id="3" w:name="_Toc316307085"/>
      <w:bookmarkStart w:id="4" w:name="_Hlk497741651"/>
      <w:r>
        <w:rPr>
          <w:rFonts w:ascii="宋体" w:hAnsi="宋体" w:cs="Arial"/>
          <w:color w:val="000000"/>
          <w:sz w:val="24"/>
          <w:highlight w:val="none"/>
        </w:rPr>
        <w:t>1.1</w:t>
      </w:r>
      <w:r>
        <w:rPr>
          <w:rFonts w:hint="eastAsia" w:ascii="宋体" w:hAnsi="宋体" w:cs="Arial"/>
          <w:color w:val="000000"/>
          <w:sz w:val="24"/>
          <w:highlight w:val="none"/>
        </w:rPr>
        <w:t>采购人：见前附表</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1.2</w:t>
      </w:r>
      <w:r>
        <w:rPr>
          <w:rFonts w:hint="eastAsia" w:ascii="宋体" w:hAnsi="宋体" w:cs="Arial"/>
          <w:sz w:val="24"/>
          <w:highlight w:val="none"/>
        </w:rPr>
        <w:t>应答</w:t>
      </w:r>
      <w:r>
        <w:rPr>
          <w:rFonts w:hint="eastAsia" w:ascii="宋体" w:hAnsi="宋体" w:cs="Arial"/>
          <w:color w:val="000000"/>
          <w:sz w:val="24"/>
          <w:highlight w:val="none"/>
        </w:rPr>
        <w:t>人：经过资质审查符合本次采购所规定的相应资质要求，参加应答竞争的企业单位。</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1.3</w:t>
      </w:r>
      <w:r>
        <w:rPr>
          <w:rFonts w:hint="eastAsia" w:ascii="宋体" w:hAnsi="宋体" w:cs="Arial"/>
          <w:color w:val="000000"/>
          <w:sz w:val="24"/>
          <w:highlight w:val="none"/>
        </w:rPr>
        <w:t>中选人：最终被授予合同的应答人。</w:t>
      </w:r>
    </w:p>
    <w:p>
      <w:pPr>
        <w:adjustRightInd w:val="0"/>
        <w:snapToGrid w:val="0"/>
        <w:spacing w:line="360" w:lineRule="auto"/>
        <w:ind w:left="105" w:leftChars="50" w:right="105" w:rightChars="50" w:firstLine="480" w:firstLineChars="200"/>
        <w:rPr>
          <w:rFonts w:ascii="宋体" w:hAnsi="宋体" w:cs="Arial"/>
          <w:sz w:val="24"/>
          <w:highlight w:val="none"/>
        </w:rPr>
      </w:pPr>
      <w:r>
        <w:rPr>
          <w:rFonts w:ascii="宋体" w:hAnsi="宋体" w:cs="Arial"/>
          <w:color w:val="000000"/>
          <w:sz w:val="24"/>
          <w:highlight w:val="none"/>
        </w:rPr>
        <w:t>1.4</w:t>
      </w:r>
      <w:r>
        <w:rPr>
          <w:rFonts w:hint="eastAsia" w:ascii="宋体" w:hAnsi="宋体" w:cs="Arial"/>
          <w:color w:val="000000"/>
          <w:sz w:val="24"/>
          <w:highlight w:val="none"/>
        </w:rPr>
        <w:t>采购领导小组：由</w:t>
      </w:r>
      <w:r>
        <w:rPr>
          <w:rFonts w:hint="eastAsia" w:ascii="宋体" w:hAnsi="宋体" w:cs="Arial"/>
          <w:sz w:val="24"/>
          <w:highlight w:val="none"/>
        </w:rPr>
        <w:t>采购人及其上级单位按一定的程序和要求而组建的机构，负责领导采购工作。</w:t>
      </w:r>
    </w:p>
    <w:p>
      <w:pPr>
        <w:adjustRightInd w:val="0"/>
        <w:snapToGrid w:val="0"/>
        <w:spacing w:line="360" w:lineRule="auto"/>
        <w:ind w:left="105" w:leftChars="50" w:right="105" w:rightChars="50" w:firstLine="480" w:firstLineChars="200"/>
        <w:rPr>
          <w:rFonts w:ascii="宋体" w:hAnsi="宋体" w:cs="Arial"/>
          <w:sz w:val="24"/>
          <w:highlight w:val="none"/>
        </w:rPr>
      </w:pPr>
      <w:r>
        <w:rPr>
          <w:rFonts w:ascii="宋体" w:hAnsi="宋体" w:cs="Arial"/>
          <w:sz w:val="24"/>
          <w:highlight w:val="none"/>
        </w:rPr>
        <w:t>1.</w:t>
      </w:r>
      <w:bookmarkStart w:id="5" w:name="_Hlt7014997"/>
      <w:bookmarkEnd w:id="5"/>
      <w:r>
        <w:rPr>
          <w:rFonts w:ascii="宋体" w:hAnsi="宋体" w:cs="Arial"/>
          <w:sz w:val="24"/>
          <w:highlight w:val="none"/>
        </w:rPr>
        <w:t>5</w:t>
      </w:r>
      <w:r>
        <w:rPr>
          <w:rFonts w:hint="eastAsia" w:ascii="宋体" w:hAnsi="宋体" w:cs="Arial"/>
          <w:sz w:val="24"/>
          <w:highlight w:val="none"/>
        </w:rPr>
        <w:t>采购小组：在采购领导小组的领导下，由聘请的专家或本单位评审专家随机抽选组建，负责具体评审工作。</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1.6</w:t>
      </w:r>
      <w:r>
        <w:rPr>
          <w:rFonts w:hint="eastAsia" w:ascii="宋体" w:hAnsi="宋体" w:cs="Arial"/>
          <w:color w:val="000000"/>
          <w:sz w:val="24"/>
          <w:highlight w:val="none"/>
        </w:rPr>
        <w:t>买方：</w:t>
      </w:r>
      <w:r>
        <w:rPr>
          <w:rFonts w:hint="eastAsia" w:ascii="宋体" w:hAnsi="宋体" w:cs="Arial"/>
          <w:color w:val="000000"/>
          <w:sz w:val="24"/>
          <w:highlight w:val="none"/>
          <w:u w:val="single"/>
        </w:rPr>
        <w:t>见前附表</w:t>
      </w:r>
      <w:r>
        <w:rPr>
          <w:rFonts w:hint="eastAsia" w:ascii="宋体" w:hAnsi="宋体" w:cs="Arial"/>
          <w:color w:val="000000"/>
          <w:sz w:val="24"/>
          <w:highlight w:val="none"/>
        </w:rPr>
        <w:t>，在采购阶段称为采购人，在签订和执行合同阶段称为买方。为便于采购文件及附件直接转化为经济合同，在采购文件第二、三、四部分中统称采购人为买方。</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1.7</w:t>
      </w:r>
      <w:r>
        <w:rPr>
          <w:rFonts w:hint="eastAsia" w:ascii="宋体" w:hAnsi="宋体" w:cs="Arial"/>
          <w:color w:val="000000"/>
          <w:sz w:val="24"/>
          <w:highlight w:val="none"/>
        </w:rPr>
        <w:t>卖方：在采购阶段称为应答人，在中选以后签订和执行合同阶段称为卖方。为便于采购文件及附件直接转化为经济合同，在采购文件第二、三部分中称应答人为卖方。</w:t>
      </w:r>
    </w:p>
    <w:p>
      <w:pPr>
        <w:adjustRightInd w:val="0"/>
        <w:snapToGrid w:val="0"/>
        <w:spacing w:line="360" w:lineRule="auto"/>
        <w:ind w:left="105" w:leftChars="50" w:right="105" w:rightChars="50" w:firstLine="480" w:firstLineChars="200"/>
        <w:rPr>
          <w:rFonts w:ascii="宋体" w:hAnsi="宋体" w:cs="Arial"/>
          <w:sz w:val="24"/>
          <w:highlight w:val="none"/>
        </w:rPr>
      </w:pPr>
      <w:r>
        <w:rPr>
          <w:rFonts w:ascii="宋体" w:hAnsi="宋体" w:cs="Arial"/>
          <w:sz w:val="24"/>
          <w:highlight w:val="none"/>
        </w:rPr>
        <w:t>1.8</w:t>
      </w:r>
      <w:r>
        <w:rPr>
          <w:rFonts w:hint="eastAsia" w:ascii="宋体" w:hAnsi="宋体" w:cs="Arial"/>
          <w:sz w:val="24"/>
          <w:highlight w:val="none"/>
        </w:rPr>
        <w:t>监督人：由采购人或委托的纪律监察部门、组织或机构，负责采购的监督工作。</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p>
    <w:bookmarkEnd w:id="1"/>
    <w:bookmarkEnd w:id="2"/>
    <w:bookmarkEnd w:id="3"/>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bookmarkStart w:id="6" w:name="_Toc316307087"/>
      <w:bookmarkStart w:id="7" w:name="_Toc67303272"/>
      <w:bookmarkStart w:id="8" w:name="_Toc104191889"/>
      <w:bookmarkStart w:id="9" w:name="_Toc280883202"/>
      <w:r>
        <w:rPr>
          <w:rFonts w:ascii="宋体" w:hAnsi="宋体" w:eastAsia="宋体" w:cs="Arial"/>
          <w:color w:val="000000"/>
          <w:szCs w:val="32"/>
          <w:highlight w:val="none"/>
        </w:rPr>
        <w:t>2</w:t>
      </w:r>
      <w:r>
        <w:rPr>
          <w:rFonts w:hint="eastAsia" w:ascii="宋体" w:hAnsi="宋体" w:eastAsia="宋体" w:cs="Arial"/>
          <w:color w:val="000000"/>
          <w:szCs w:val="32"/>
          <w:highlight w:val="none"/>
        </w:rPr>
        <w:t xml:space="preserve"> 概况</w:t>
      </w:r>
    </w:p>
    <w:p>
      <w:pPr>
        <w:adjustRightInd w:val="0"/>
        <w:snapToGrid w:val="0"/>
        <w:spacing w:line="360" w:lineRule="auto"/>
        <w:ind w:left="105" w:leftChars="50" w:right="105" w:rightChars="50" w:firstLine="480" w:firstLineChars="200"/>
        <w:rPr>
          <w:rFonts w:ascii="宋体" w:hAnsi="宋体" w:cs="Arial"/>
          <w:sz w:val="24"/>
          <w:highlight w:val="none"/>
        </w:rPr>
      </w:pPr>
      <w:r>
        <w:rPr>
          <w:rFonts w:ascii="宋体" w:hAnsi="宋体" w:cs="Arial"/>
          <w:sz w:val="24"/>
          <w:highlight w:val="none"/>
        </w:rPr>
        <w:t>2.1</w:t>
      </w:r>
      <w:r>
        <w:rPr>
          <w:rFonts w:hint="eastAsia" w:ascii="宋体" w:hAnsi="宋体" w:cs="Arial"/>
          <w:sz w:val="24"/>
          <w:highlight w:val="none"/>
        </w:rPr>
        <w:t>资金来源：采购人自筹。</w:t>
      </w:r>
    </w:p>
    <w:p>
      <w:pPr>
        <w:adjustRightInd w:val="0"/>
        <w:snapToGrid w:val="0"/>
        <w:spacing w:line="360" w:lineRule="auto"/>
        <w:ind w:left="105" w:leftChars="50" w:right="105" w:rightChars="50" w:firstLine="480" w:firstLineChars="200"/>
        <w:rPr>
          <w:rFonts w:ascii="宋体" w:hAnsi="宋体" w:cs="Arial"/>
          <w:sz w:val="24"/>
          <w:highlight w:val="none"/>
        </w:rPr>
      </w:pPr>
      <w:r>
        <w:rPr>
          <w:rFonts w:ascii="宋体" w:hAnsi="宋体" w:cs="Arial"/>
          <w:sz w:val="24"/>
          <w:highlight w:val="none"/>
        </w:rPr>
        <w:t>2.2</w:t>
      </w:r>
      <w:r>
        <w:rPr>
          <w:rFonts w:hint="eastAsia" w:ascii="宋体" w:hAnsi="宋体" w:cs="Arial"/>
          <w:sz w:val="24"/>
          <w:highlight w:val="none"/>
        </w:rPr>
        <w:t>项目概况：</w:t>
      </w:r>
      <w:r>
        <w:rPr>
          <w:rFonts w:hint="eastAsia" w:ascii="宋体" w:hAnsi="宋体" w:cs="Arial"/>
          <w:sz w:val="24"/>
          <w:highlight w:val="none"/>
          <w:lang w:val="en-US" w:eastAsia="zh-CN"/>
        </w:rPr>
        <w:t>110kV青山变1#主变增容工程</w:t>
      </w:r>
      <w:r>
        <w:rPr>
          <w:rFonts w:hint="eastAsia" w:ascii="宋体" w:hAnsi="宋体" w:cs="Arial"/>
          <w:sz w:val="24"/>
          <w:highlight w:val="none"/>
        </w:rPr>
        <w:t>所有电气设备、通讯设备、火灾报警等的安装、调试等。</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2.3</w:t>
      </w:r>
      <w:r>
        <w:rPr>
          <w:rFonts w:hint="eastAsia" w:ascii="宋体" w:hAnsi="宋体" w:cs="Arial"/>
          <w:color w:val="000000"/>
          <w:sz w:val="24"/>
          <w:highlight w:val="none"/>
        </w:rPr>
        <w:t>项目说明</w:t>
      </w:r>
      <w:bookmarkStart w:id="10" w:name="_Toc63692480"/>
      <w:r>
        <w:rPr>
          <w:rFonts w:hint="eastAsia" w:ascii="宋体" w:hAnsi="宋体" w:cs="Arial"/>
          <w:color w:val="000000"/>
          <w:sz w:val="24"/>
          <w:highlight w:val="none"/>
        </w:rPr>
        <w:t>：详见采购文件第三卷。</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2.4</w:t>
      </w:r>
      <w:r>
        <w:rPr>
          <w:rFonts w:hint="eastAsia" w:ascii="宋体" w:hAnsi="宋体" w:cs="Arial"/>
          <w:color w:val="000000"/>
          <w:sz w:val="24"/>
          <w:highlight w:val="none"/>
        </w:rPr>
        <w:t>项目设计条件</w:t>
      </w:r>
      <w:bookmarkEnd w:id="10"/>
      <w:r>
        <w:rPr>
          <w:rFonts w:hint="eastAsia" w:ascii="宋体" w:hAnsi="宋体" w:cs="Arial"/>
          <w:color w:val="000000"/>
          <w:sz w:val="24"/>
          <w:highlight w:val="none"/>
        </w:rPr>
        <w:t>：详见采购文件第三卷。</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p>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bookmarkStart w:id="11" w:name="_Toc316307086"/>
      <w:r>
        <w:rPr>
          <w:rFonts w:ascii="宋体" w:hAnsi="宋体" w:eastAsia="宋体" w:cs="Arial"/>
          <w:color w:val="000000"/>
          <w:szCs w:val="32"/>
          <w:highlight w:val="none"/>
        </w:rPr>
        <w:t>3</w:t>
      </w:r>
      <w:r>
        <w:rPr>
          <w:rFonts w:hint="eastAsia" w:ascii="宋体" w:hAnsi="宋体" w:eastAsia="宋体" w:cs="Arial"/>
          <w:color w:val="000000"/>
          <w:szCs w:val="32"/>
          <w:highlight w:val="none"/>
        </w:rPr>
        <w:t xml:space="preserve"> 采购方式与采购范围</w:t>
      </w:r>
      <w:bookmarkEnd w:id="11"/>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3.1</w:t>
      </w:r>
      <w:r>
        <w:rPr>
          <w:rFonts w:hint="eastAsia" w:ascii="宋体" w:hAnsi="宋体" w:cs="Arial"/>
          <w:color w:val="000000"/>
          <w:sz w:val="24"/>
          <w:highlight w:val="none"/>
        </w:rPr>
        <w:t>采购方式</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r>
        <w:rPr>
          <w:rFonts w:hint="eastAsia" w:ascii="宋体" w:hAnsi="宋体" w:cs="Arial"/>
          <w:color w:val="000000"/>
          <w:sz w:val="24"/>
          <w:highlight w:val="none"/>
        </w:rPr>
        <w:t>本次采购为</w:t>
      </w:r>
      <w:r>
        <w:rPr>
          <w:rFonts w:hint="eastAsia" w:ascii="宋体" w:hAnsi="宋体" w:cs="Arial"/>
          <w:color w:val="000000"/>
          <w:sz w:val="24"/>
          <w:highlight w:val="none"/>
          <w:lang w:eastAsia="zh-CN"/>
        </w:rPr>
        <w:t>招标办</w:t>
      </w:r>
      <w:r>
        <w:rPr>
          <w:rFonts w:hint="eastAsia" w:ascii="宋体" w:hAnsi="宋体" w:cs="Arial"/>
          <w:color w:val="000000"/>
          <w:sz w:val="24"/>
          <w:highlight w:val="none"/>
        </w:rPr>
        <w:t>公开询价采购，采用资格后审的评审方式。报价截止时间前在</w:t>
      </w:r>
      <w:r>
        <w:rPr>
          <w:rFonts w:hint="eastAsia" w:ascii="宋体" w:hAnsi="宋体" w:cs="Arial"/>
          <w:color w:val="000000"/>
          <w:sz w:val="24"/>
          <w:highlight w:val="none"/>
          <w:lang w:eastAsia="zh-CN"/>
        </w:rPr>
        <w:t>招标办</w:t>
      </w:r>
      <w:r>
        <w:rPr>
          <w:rFonts w:hint="eastAsia" w:ascii="宋体" w:hAnsi="宋体" w:cs="Arial"/>
          <w:color w:val="000000"/>
          <w:sz w:val="24"/>
          <w:highlight w:val="none"/>
        </w:rPr>
        <w:t>报价并上传电子版应答文件。</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3.2</w:t>
      </w:r>
      <w:r>
        <w:rPr>
          <w:rFonts w:hint="eastAsia" w:ascii="宋体" w:hAnsi="宋体" w:cs="Arial"/>
          <w:color w:val="000000"/>
          <w:sz w:val="24"/>
          <w:highlight w:val="none"/>
        </w:rPr>
        <w:t>采购范围</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bookmarkStart w:id="12" w:name="_Toc115689622"/>
      <w:r>
        <w:rPr>
          <w:rFonts w:hint="eastAsia" w:ascii="宋体" w:hAnsi="宋体" w:cs="Arial"/>
          <w:sz w:val="24"/>
          <w:highlight w:val="none"/>
          <w:lang w:val="en-US" w:eastAsia="zh-CN"/>
        </w:rPr>
        <w:t>110kV青山变1#主变增容工程</w:t>
      </w:r>
      <w:r>
        <w:rPr>
          <w:rFonts w:hint="eastAsia" w:ascii="宋体" w:hAnsi="宋体" w:cs="Arial"/>
          <w:color w:val="000000"/>
          <w:sz w:val="24"/>
          <w:highlight w:val="none"/>
        </w:rPr>
        <w:t>所有电气设备、通讯设备、火灾报警等的安装、调试等。</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p>
    <w:bookmarkEnd w:id="12"/>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r>
        <w:rPr>
          <w:rFonts w:ascii="宋体" w:hAnsi="宋体" w:eastAsia="宋体" w:cs="Arial"/>
          <w:color w:val="000000"/>
          <w:szCs w:val="32"/>
          <w:highlight w:val="none"/>
        </w:rPr>
        <w:t>4</w:t>
      </w:r>
      <w:r>
        <w:rPr>
          <w:rFonts w:hint="eastAsia" w:ascii="宋体" w:hAnsi="宋体" w:eastAsia="宋体" w:cs="Arial"/>
          <w:color w:val="000000"/>
          <w:szCs w:val="32"/>
          <w:highlight w:val="none"/>
        </w:rPr>
        <w:t xml:space="preserve"> </w:t>
      </w:r>
      <w:bookmarkEnd w:id="6"/>
      <w:bookmarkEnd w:id="7"/>
      <w:bookmarkEnd w:id="8"/>
      <w:bookmarkEnd w:id="9"/>
      <w:bookmarkStart w:id="13" w:name="_Toc67303273"/>
      <w:bookmarkStart w:id="14" w:name="_Toc316307088"/>
      <w:bookmarkStart w:id="15" w:name="_Toc104191890"/>
      <w:bookmarkStart w:id="16" w:name="_Toc280883203"/>
      <w:r>
        <w:rPr>
          <w:rFonts w:hint="eastAsia" w:ascii="宋体" w:hAnsi="宋体" w:eastAsia="宋体" w:cs="Arial"/>
          <w:color w:val="000000"/>
          <w:szCs w:val="32"/>
          <w:highlight w:val="none"/>
        </w:rPr>
        <w:t>采购文件</w:t>
      </w:r>
      <w:bookmarkEnd w:id="13"/>
      <w:bookmarkEnd w:id="14"/>
      <w:bookmarkEnd w:id="15"/>
      <w:bookmarkEnd w:id="16"/>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4.1 </w:t>
      </w:r>
      <w:r>
        <w:rPr>
          <w:rFonts w:hint="eastAsia" w:ascii="宋体" w:hAnsi="宋体" w:cs="Arial"/>
          <w:color w:val="000000"/>
          <w:sz w:val="24"/>
          <w:highlight w:val="none"/>
        </w:rPr>
        <w:t>采购文件的组成</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4.1.1</w:t>
      </w:r>
      <w:r>
        <w:rPr>
          <w:rFonts w:hint="eastAsia" w:ascii="宋体" w:hAnsi="宋体" w:cs="Arial"/>
          <w:color w:val="000000"/>
          <w:sz w:val="24"/>
          <w:highlight w:val="none"/>
        </w:rPr>
        <w:t>采购文件由第一卷《应答须知》、第二卷《合同条款》、第三卷《技术规范书》、第四卷《应答文件格式》组成。</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4.1.2 </w:t>
      </w:r>
      <w:r>
        <w:rPr>
          <w:rFonts w:hint="eastAsia" w:ascii="宋体" w:hAnsi="宋体" w:cs="Arial"/>
          <w:color w:val="000000"/>
          <w:sz w:val="24"/>
          <w:highlight w:val="none"/>
        </w:rPr>
        <w:t>采购人所作的一切有效的通知、修改及补充，都是采购文件不可分割的部分。</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4.2</w:t>
      </w:r>
      <w:r>
        <w:rPr>
          <w:rFonts w:hint="eastAsia" w:ascii="宋体" w:hAnsi="宋体" w:cs="Arial"/>
          <w:color w:val="000000"/>
          <w:sz w:val="24"/>
          <w:highlight w:val="none"/>
        </w:rPr>
        <w:t>采购文件的澄清和修改</w:t>
      </w:r>
    </w:p>
    <w:p>
      <w:pPr>
        <w:adjustRightInd w:val="0"/>
        <w:snapToGrid w:val="0"/>
        <w:spacing w:line="360" w:lineRule="auto"/>
        <w:ind w:left="105" w:leftChars="50" w:right="105" w:rightChars="50" w:firstLine="480" w:firstLineChars="200"/>
        <w:rPr>
          <w:rFonts w:hint="eastAsia" w:ascii="宋体" w:hAnsi="宋体" w:eastAsia="宋体" w:cs="Arial"/>
          <w:color w:val="000000"/>
          <w:szCs w:val="32"/>
          <w:highlight w:val="none"/>
        </w:rPr>
      </w:pPr>
      <w:r>
        <w:rPr>
          <w:rFonts w:ascii="宋体" w:hAnsi="宋体" w:cs="Arial"/>
          <w:color w:val="000000"/>
          <w:sz w:val="24"/>
          <w:highlight w:val="none"/>
        </w:rPr>
        <w:t>4.2.1</w:t>
      </w:r>
      <w:r>
        <w:rPr>
          <w:rFonts w:hint="eastAsia" w:ascii="宋体" w:hAnsi="宋体" w:cs="Arial"/>
          <w:color w:val="000000"/>
          <w:sz w:val="24"/>
          <w:highlight w:val="none"/>
        </w:rPr>
        <w:t>采购文件的澄清和修改，以电子商城发布信息为准。</w:t>
      </w:r>
      <w:bookmarkStart w:id="17" w:name="_Toc67303274"/>
    </w:p>
    <w:p>
      <w:pPr>
        <w:pStyle w:val="6"/>
      </w:pPr>
    </w:p>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bookmarkStart w:id="18" w:name="_Toc316307090"/>
      <w:bookmarkStart w:id="19" w:name="_Toc280883205"/>
      <w:bookmarkStart w:id="20" w:name="_Toc104191892"/>
      <w:r>
        <w:rPr>
          <w:rFonts w:hint="eastAsia" w:ascii="宋体" w:hAnsi="宋体" w:eastAsia="宋体" w:cs="Arial"/>
          <w:color w:val="000000"/>
          <w:szCs w:val="32"/>
          <w:highlight w:val="none"/>
          <w:lang w:val="en-US" w:eastAsia="zh-CN"/>
        </w:rPr>
        <w:t>5</w:t>
      </w:r>
      <w:r>
        <w:rPr>
          <w:rFonts w:hint="eastAsia" w:ascii="宋体" w:hAnsi="宋体" w:eastAsia="宋体" w:cs="Arial"/>
          <w:color w:val="000000"/>
          <w:szCs w:val="32"/>
          <w:highlight w:val="none"/>
        </w:rPr>
        <w:t xml:space="preserve"> 应答文件</w:t>
      </w:r>
      <w:bookmarkEnd w:id="17"/>
      <w:bookmarkEnd w:id="18"/>
      <w:bookmarkEnd w:id="19"/>
      <w:bookmarkEnd w:id="20"/>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6.1</w:t>
      </w:r>
      <w:r>
        <w:rPr>
          <w:rFonts w:hint="eastAsia" w:ascii="宋体" w:hAnsi="宋体" w:cs="Arial"/>
          <w:color w:val="000000"/>
          <w:sz w:val="24"/>
          <w:highlight w:val="none"/>
        </w:rPr>
        <w:t>应答文件的组成</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6.1.1</w:t>
      </w:r>
      <w:r>
        <w:rPr>
          <w:rFonts w:hint="eastAsia" w:ascii="宋体" w:hAnsi="宋体" w:cs="Arial"/>
          <w:color w:val="000000"/>
          <w:sz w:val="24"/>
          <w:highlight w:val="none"/>
        </w:rPr>
        <w:t>应答文件由商务部分和技术部分组成。具体内容见第四卷《应答文件格式》：</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6.2 </w:t>
      </w:r>
      <w:r>
        <w:rPr>
          <w:rFonts w:hint="eastAsia" w:ascii="宋体" w:hAnsi="宋体" w:cs="Arial"/>
          <w:color w:val="000000"/>
          <w:sz w:val="24"/>
          <w:highlight w:val="none"/>
        </w:rPr>
        <w:t>应答文件的编制</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6.2.1 </w:t>
      </w:r>
      <w:r>
        <w:rPr>
          <w:rFonts w:hint="eastAsia" w:ascii="宋体" w:hAnsi="宋体" w:cs="Arial"/>
          <w:color w:val="000000"/>
          <w:sz w:val="24"/>
          <w:highlight w:val="none"/>
        </w:rPr>
        <w:t>一般要求</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应答人应严格按照采购文件第一卷所规定的格式和第二、第三卷、第四卷的内容要求编制应答文件，逐项逐条回答采购文件，顺序和编号应与采购文件一致。可以增加说明或描述性文字。应答文件对采购文件未提出异议的条款，均被视为接受和同意。应答文件与采购文件有差异之处，无论多么微小，均应按采购文件提供的差异表的格式按技术和商务分别汇总说明。</w:t>
      </w:r>
    </w:p>
    <w:p>
      <w:pPr>
        <w:adjustRightInd w:val="0"/>
        <w:snapToGrid w:val="0"/>
        <w:spacing w:line="360" w:lineRule="auto"/>
        <w:ind w:left="105" w:leftChars="50" w:right="105" w:rightChars="50" w:firstLine="482" w:firstLineChars="200"/>
        <w:rPr>
          <w:rFonts w:ascii="宋体" w:hAnsi="宋体" w:cs="Arial"/>
          <w:b/>
          <w:color w:val="000000"/>
          <w:sz w:val="24"/>
          <w:highlight w:val="none"/>
        </w:rPr>
      </w:pPr>
      <w:r>
        <w:rPr>
          <w:rFonts w:hint="eastAsia" w:ascii="宋体" w:hAnsi="宋体" w:cs="Arial"/>
          <w:b/>
          <w:color w:val="000000"/>
          <w:sz w:val="24"/>
          <w:highlight w:val="none"/>
        </w:rPr>
        <w:t>应答文件中与采购文件内容不一致的部分，必须采用与正文不同字体（如斜体或黑体等）。</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6.2.2 </w:t>
      </w:r>
      <w:r>
        <w:rPr>
          <w:rFonts w:hint="eastAsia" w:ascii="宋体" w:hAnsi="宋体" w:cs="Arial"/>
          <w:color w:val="000000"/>
          <w:sz w:val="24"/>
          <w:highlight w:val="none"/>
        </w:rPr>
        <w:t>应答文件的语言</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应答文件应用中文编写。若其中有其它语言的书面材料，则应附有中文译文，并以中文译文为准。度量衡采用中国法定计量单位。</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6.2.3 </w:t>
      </w:r>
      <w:r>
        <w:rPr>
          <w:rFonts w:hint="eastAsia" w:ascii="宋体" w:hAnsi="宋体" w:cs="Arial"/>
          <w:color w:val="000000"/>
          <w:sz w:val="24"/>
          <w:highlight w:val="none"/>
        </w:rPr>
        <w:t>应答有效期</w:t>
      </w:r>
    </w:p>
    <w:p>
      <w:pPr>
        <w:adjustRightInd w:val="0"/>
        <w:snapToGrid w:val="0"/>
        <w:spacing w:line="360" w:lineRule="auto"/>
        <w:ind w:left="105" w:leftChars="50" w:right="105" w:rightChars="50" w:firstLine="480" w:firstLineChars="200"/>
        <w:rPr>
          <w:rFonts w:ascii="宋体" w:hAnsi="宋体" w:cs="Arial"/>
          <w:b/>
          <w:color w:val="FF0000"/>
          <w:sz w:val="24"/>
          <w:highlight w:val="none"/>
        </w:rPr>
      </w:pPr>
      <w:r>
        <w:rPr>
          <w:rFonts w:hint="eastAsia" w:ascii="宋体" w:hAnsi="宋体" w:cs="Arial"/>
          <w:color w:val="000000"/>
          <w:sz w:val="24"/>
          <w:highlight w:val="none"/>
        </w:rPr>
        <w:t>应答有效期为应答截止</w:t>
      </w:r>
      <w:r>
        <w:rPr>
          <w:rFonts w:hint="eastAsia" w:ascii="宋体" w:hAnsi="宋体" w:cs="Arial"/>
          <w:sz w:val="24"/>
          <w:highlight w:val="none"/>
        </w:rPr>
        <w:t>日期后</w:t>
      </w:r>
      <w:r>
        <w:rPr>
          <w:rFonts w:hint="eastAsia" w:ascii="宋体" w:hAnsi="宋体" w:cs="Arial"/>
          <w:sz w:val="24"/>
          <w:highlight w:val="none"/>
          <w:lang w:val="en-US" w:eastAsia="zh-CN"/>
        </w:rPr>
        <w:t>180</w:t>
      </w:r>
      <w:r>
        <w:rPr>
          <w:rFonts w:hint="eastAsia" w:ascii="宋体" w:hAnsi="宋体" w:cs="Arial"/>
          <w:sz w:val="24"/>
          <w:highlight w:val="none"/>
        </w:rPr>
        <w:t>天。若遇特殊情</w:t>
      </w:r>
      <w:r>
        <w:rPr>
          <w:rFonts w:hint="eastAsia" w:ascii="宋体" w:hAnsi="宋体" w:cs="Arial"/>
          <w:color w:val="000000"/>
          <w:sz w:val="24"/>
          <w:highlight w:val="none"/>
        </w:rPr>
        <w:t>况，采购人可于应答有效期之前要求应答人同意延长有效期。应答人应在规定的时间内以书面答复表示同意，此时应答人不能对应答文件进行任何修改；应答人若不同意延长应答有效期，则应在规定的时间内以书面形式给予明确答复，此时应答人被视为自动退出应答，应答保证金予以全额退还。</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6.2.5 </w:t>
      </w:r>
      <w:r>
        <w:rPr>
          <w:rFonts w:hint="eastAsia" w:ascii="宋体" w:hAnsi="宋体" w:cs="Arial"/>
          <w:color w:val="000000"/>
          <w:sz w:val="24"/>
          <w:highlight w:val="none"/>
        </w:rPr>
        <w:t>应答人建议</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应答人可提出补充建议或说明，提出比采购文件的要求更为合理的建议方案，列于应答文件技术部分，同时应说明对技术条件、价格、运行、维护、检修、安装等方面的影响。</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6.2.6 </w:t>
      </w:r>
      <w:r>
        <w:rPr>
          <w:rFonts w:hint="eastAsia" w:ascii="宋体" w:hAnsi="宋体" w:cs="Arial"/>
          <w:color w:val="000000"/>
          <w:sz w:val="24"/>
          <w:highlight w:val="none"/>
        </w:rPr>
        <w:t>应答文件的份数和签署</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6.2.6.1</w:t>
      </w:r>
      <w:r>
        <w:rPr>
          <w:rFonts w:hint="eastAsia" w:ascii="宋体" w:hAnsi="宋体" w:cs="Arial"/>
          <w:color w:val="000000"/>
          <w:sz w:val="24"/>
          <w:highlight w:val="none"/>
        </w:rPr>
        <w:t>应答文件由</w:t>
      </w:r>
      <w:r>
        <w:rPr>
          <w:rFonts w:hint="eastAsia" w:ascii="宋体" w:hAnsi="宋体" w:cs="Arial"/>
          <w:color w:val="000000"/>
          <w:sz w:val="24"/>
          <w:highlight w:val="none"/>
          <w:u w:val="single"/>
        </w:rPr>
        <w:t>商务</w:t>
      </w:r>
      <w:r>
        <w:rPr>
          <w:rFonts w:hint="eastAsia" w:ascii="宋体" w:hAnsi="宋体" w:cs="Arial"/>
          <w:color w:val="000000"/>
          <w:sz w:val="24"/>
          <w:highlight w:val="none"/>
        </w:rPr>
        <w:t>、</w:t>
      </w:r>
      <w:r>
        <w:rPr>
          <w:rFonts w:hint="eastAsia" w:ascii="宋体" w:hAnsi="宋体" w:cs="Arial"/>
          <w:color w:val="000000"/>
          <w:sz w:val="24"/>
          <w:highlight w:val="none"/>
          <w:u w:val="single"/>
        </w:rPr>
        <w:t>技术</w:t>
      </w:r>
      <w:r>
        <w:rPr>
          <w:rFonts w:hint="eastAsia" w:ascii="宋体" w:hAnsi="宋体" w:cs="Arial"/>
          <w:color w:val="000000"/>
          <w:sz w:val="24"/>
          <w:highlight w:val="none"/>
        </w:rPr>
        <w:t>、</w:t>
      </w:r>
      <w:r>
        <w:rPr>
          <w:rFonts w:hint="eastAsia" w:ascii="宋体" w:hAnsi="宋体" w:cs="Arial"/>
          <w:color w:val="000000"/>
          <w:sz w:val="24"/>
          <w:highlight w:val="none"/>
          <w:u w:val="single"/>
        </w:rPr>
        <w:t>价格三</w:t>
      </w:r>
      <w:r>
        <w:rPr>
          <w:rFonts w:hint="eastAsia" w:ascii="宋体" w:hAnsi="宋体" w:cs="Arial"/>
          <w:color w:val="000000"/>
          <w:sz w:val="24"/>
          <w:highlight w:val="none"/>
        </w:rPr>
        <w:t>部分组成。</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6.3 </w:t>
      </w:r>
      <w:r>
        <w:rPr>
          <w:rFonts w:hint="eastAsia" w:ascii="宋体" w:hAnsi="宋体" w:cs="Arial"/>
          <w:color w:val="000000"/>
          <w:sz w:val="24"/>
          <w:highlight w:val="none"/>
        </w:rPr>
        <w:t>应答报价</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6.3.1</w:t>
      </w:r>
      <w:r>
        <w:rPr>
          <w:rFonts w:hint="eastAsia" w:ascii="宋体" w:hAnsi="宋体" w:cs="Arial"/>
          <w:color w:val="000000"/>
          <w:sz w:val="24"/>
          <w:highlight w:val="none"/>
        </w:rPr>
        <w:t>一般要求</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6.3.1.1</w:t>
      </w:r>
      <w:r>
        <w:rPr>
          <w:rFonts w:hint="eastAsia" w:ascii="宋体" w:hAnsi="宋体" w:cs="Arial"/>
          <w:color w:val="000000"/>
          <w:sz w:val="24"/>
          <w:highlight w:val="none"/>
        </w:rPr>
        <w:t>应答人应严格按照采购文件的格式认真填写价格表和各种分项价格表。应答价格为含税价格。</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r>
        <w:rPr>
          <w:rFonts w:ascii="宋体" w:hAnsi="宋体" w:cs="Arial"/>
          <w:color w:val="000000"/>
          <w:sz w:val="24"/>
          <w:highlight w:val="none"/>
        </w:rPr>
        <w:t xml:space="preserve">6.3.1.2 </w:t>
      </w:r>
      <w:r>
        <w:rPr>
          <w:rFonts w:hint="eastAsia" w:ascii="宋体" w:hAnsi="宋体" w:cs="Arial"/>
          <w:color w:val="000000"/>
          <w:sz w:val="24"/>
          <w:highlight w:val="none"/>
        </w:rPr>
        <w:t>应答人的报价为闭口价。即中选后在应答有效期内价格固定不变。</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6.3.1.3</w:t>
      </w:r>
      <w:r>
        <w:rPr>
          <w:rFonts w:hint="eastAsia" w:ascii="宋体" w:hAnsi="宋体" w:cs="Arial"/>
          <w:color w:val="000000"/>
          <w:sz w:val="24"/>
          <w:highlight w:val="none"/>
        </w:rPr>
        <w:t>分项价之和须与应答总价相符。评审时若发现由于应答人的原因造成分项价之和与总价不符，以分项报价之和为准；若数字和文字表示的金额之间有差异，则以文字金额为准，并对数字作相应的修正。如有优惠条件，优惠条件要在分项价中体现。</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6.3.1.4 </w:t>
      </w:r>
      <w:r>
        <w:rPr>
          <w:rFonts w:hint="eastAsia" w:ascii="宋体" w:hAnsi="宋体" w:cs="Arial"/>
          <w:color w:val="000000"/>
          <w:sz w:val="24"/>
          <w:highlight w:val="none"/>
        </w:rPr>
        <w:t>应答报价应注明有效期，有效期应与应答有效期相一致。</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6.3.1.5 </w:t>
      </w:r>
      <w:r>
        <w:rPr>
          <w:rFonts w:hint="eastAsia" w:ascii="宋体" w:hAnsi="宋体" w:cs="Arial"/>
          <w:color w:val="000000"/>
          <w:sz w:val="24"/>
          <w:highlight w:val="none"/>
        </w:rPr>
        <w:t>应答报价使用的货币为人民币，到工地现场价格报价。应答报价应为含税价格。</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6.3.2</w:t>
      </w:r>
      <w:r>
        <w:rPr>
          <w:rFonts w:hint="eastAsia" w:ascii="宋体" w:hAnsi="宋体" w:cs="Arial"/>
          <w:color w:val="000000"/>
          <w:sz w:val="24"/>
          <w:highlight w:val="none"/>
        </w:rPr>
        <w:t>报价原则（见报价表）</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6.3.3</w:t>
      </w:r>
      <w:r>
        <w:rPr>
          <w:rFonts w:hint="eastAsia" w:ascii="宋体" w:hAnsi="宋体" w:cs="Arial"/>
          <w:color w:val="000000"/>
          <w:sz w:val="24"/>
          <w:highlight w:val="none"/>
        </w:rPr>
        <w:t>应答报价内容：</w:t>
      </w:r>
    </w:p>
    <w:p>
      <w:pPr>
        <w:adjustRightInd w:val="0"/>
        <w:snapToGrid w:val="0"/>
        <w:spacing w:line="360" w:lineRule="auto"/>
        <w:ind w:left="105" w:leftChars="50" w:right="105" w:rightChars="50" w:firstLine="480" w:firstLineChars="200"/>
        <w:rPr>
          <w:rFonts w:ascii="宋体" w:hAnsi="宋体" w:cs="Arial"/>
          <w:b/>
          <w:bCs/>
          <w:color w:val="000000"/>
          <w:sz w:val="24"/>
          <w:highlight w:val="none"/>
          <w:u w:val="single"/>
        </w:rPr>
      </w:pPr>
      <w:r>
        <w:rPr>
          <w:rFonts w:hint="eastAsia" w:ascii="宋体" w:hAnsi="宋体" w:cs="Arial"/>
          <w:color w:val="000000"/>
          <w:sz w:val="24"/>
          <w:highlight w:val="none"/>
        </w:rPr>
        <w:t>除非合同中另有规定，应答人应按照采购文件规定、本次采购范围、技术部分和报价明细表及企业管理经验、水平等编制报价书并自行报价，</w:t>
      </w:r>
      <w:r>
        <w:rPr>
          <w:rFonts w:hint="eastAsia" w:ascii="宋体" w:hAnsi="宋体" w:cs="Arial"/>
          <w:b/>
          <w:bCs/>
          <w:color w:val="000000"/>
          <w:sz w:val="24"/>
          <w:highlight w:val="none"/>
          <w:u w:val="single"/>
        </w:rPr>
        <w:t>其报价应为采购范围内的各项应有费用，应答报价应囊括本次检修范围内的所有内容，应答报价为总价包死价格。</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6.4 </w:t>
      </w:r>
      <w:r>
        <w:rPr>
          <w:rFonts w:hint="eastAsia" w:ascii="宋体" w:hAnsi="宋体" w:cs="Arial"/>
          <w:color w:val="000000"/>
          <w:sz w:val="24"/>
          <w:highlight w:val="none"/>
        </w:rPr>
        <w:t>应答文件的递交</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6.4.1 </w:t>
      </w:r>
      <w:r>
        <w:rPr>
          <w:rFonts w:hint="eastAsia" w:ascii="宋体" w:hAnsi="宋体" w:cs="Arial"/>
          <w:color w:val="000000"/>
          <w:sz w:val="24"/>
          <w:highlight w:val="none"/>
        </w:rPr>
        <w:t>应答文件统一在</w:t>
      </w:r>
      <w:r>
        <w:rPr>
          <w:rFonts w:hint="eastAsia" w:ascii="宋体" w:hAnsi="宋体" w:cs="Arial"/>
          <w:color w:val="000000"/>
          <w:sz w:val="24"/>
          <w:highlight w:val="none"/>
          <w:lang w:eastAsia="zh-CN"/>
        </w:rPr>
        <w:t>招标办规定信箱</w:t>
      </w:r>
      <w:r>
        <w:rPr>
          <w:rFonts w:hint="eastAsia" w:ascii="宋体" w:hAnsi="宋体" w:cs="Arial"/>
          <w:color w:val="000000"/>
          <w:sz w:val="24"/>
          <w:highlight w:val="none"/>
        </w:rPr>
        <w:t>上传。</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6.4.</w:t>
      </w:r>
      <w:r>
        <w:rPr>
          <w:rFonts w:hint="eastAsia" w:ascii="宋体" w:hAnsi="宋体" w:cs="Arial"/>
          <w:color w:val="000000"/>
          <w:sz w:val="24"/>
          <w:highlight w:val="none"/>
        </w:rPr>
        <w:t>2应答截止日期</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以</w:t>
      </w:r>
      <w:r>
        <w:rPr>
          <w:rFonts w:hint="eastAsia" w:ascii="宋体" w:hAnsi="宋体" w:cs="Arial"/>
          <w:color w:val="000000"/>
          <w:sz w:val="24"/>
          <w:highlight w:val="none"/>
          <w:lang w:eastAsia="zh-CN"/>
        </w:rPr>
        <w:t>招标办</w:t>
      </w:r>
      <w:r>
        <w:rPr>
          <w:rFonts w:hint="eastAsia" w:ascii="宋体" w:hAnsi="宋体" w:cs="Arial"/>
          <w:color w:val="000000"/>
          <w:sz w:val="24"/>
          <w:highlight w:val="none"/>
        </w:rPr>
        <w:t>约定的截止时间为准。</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w:t>
      </w:r>
      <w:r>
        <w:rPr>
          <w:rFonts w:hint="eastAsia" w:ascii="宋体" w:hAnsi="宋体" w:cs="Arial"/>
          <w:color w:val="000000"/>
          <w:sz w:val="24"/>
          <w:highlight w:val="none"/>
        </w:rPr>
        <w:t>5</w:t>
      </w:r>
      <w:r>
        <w:rPr>
          <w:rFonts w:ascii="宋体" w:hAnsi="宋体" w:cs="Arial"/>
          <w:color w:val="000000"/>
          <w:sz w:val="24"/>
          <w:highlight w:val="none"/>
        </w:rPr>
        <w:t xml:space="preserve"> </w:t>
      </w:r>
      <w:r>
        <w:rPr>
          <w:rFonts w:hint="eastAsia" w:ascii="宋体" w:hAnsi="宋体" w:cs="Arial"/>
          <w:color w:val="000000"/>
          <w:sz w:val="24"/>
          <w:highlight w:val="none"/>
        </w:rPr>
        <w:t>无效应答</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发生下列情况之一者，采购人有权视其为无效应答。</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w:t>
      </w:r>
      <w:r>
        <w:rPr>
          <w:rFonts w:hint="eastAsia" w:ascii="宋体" w:hAnsi="宋体" w:cs="Arial"/>
          <w:color w:val="000000"/>
          <w:sz w:val="24"/>
          <w:highlight w:val="none"/>
        </w:rPr>
        <w:t>5</w:t>
      </w:r>
      <w:r>
        <w:rPr>
          <w:rFonts w:ascii="宋体" w:hAnsi="宋体" w:cs="Arial"/>
          <w:color w:val="000000"/>
          <w:sz w:val="24"/>
          <w:highlight w:val="none"/>
        </w:rPr>
        <w:t>.</w:t>
      </w:r>
      <w:r>
        <w:rPr>
          <w:rFonts w:hint="eastAsia" w:ascii="宋体" w:hAnsi="宋体" w:cs="Arial"/>
          <w:color w:val="000000"/>
          <w:sz w:val="24"/>
          <w:highlight w:val="none"/>
        </w:rPr>
        <w:t>1</w:t>
      </w:r>
      <w:r>
        <w:rPr>
          <w:rFonts w:ascii="宋体" w:hAnsi="宋体" w:cs="Arial"/>
          <w:color w:val="000000"/>
          <w:sz w:val="24"/>
          <w:highlight w:val="none"/>
        </w:rPr>
        <w:t xml:space="preserve"> </w:t>
      </w:r>
      <w:r>
        <w:rPr>
          <w:rFonts w:hint="eastAsia" w:ascii="宋体" w:hAnsi="宋体" w:cs="Arial"/>
          <w:color w:val="000000"/>
          <w:sz w:val="24"/>
          <w:highlight w:val="none"/>
        </w:rPr>
        <w:t>应答文件中无应答保证金或金额少于本应答须知规定的金额。</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w:t>
      </w:r>
      <w:r>
        <w:rPr>
          <w:rFonts w:hint="eastAsia" w:ascii="宋体" w:hAnsi="宋体" w:cs="Arial"/>
          <w:color w:val="000000"/>
          <w:sz w:val="24"/>
          <w:highlight w:val="none"/>
        </w:rPr>
        <w:t>5</w:t>
      </w:r>
      <w:r>
        <w:rPr>
          <w:rFonts w:ascii="宋体" w:hAnsi="宋体" w:cs="Arial"/>
          <w:color w:val="000000"/>
          <w:sz w:val="24"/>
          <w:highlight w:val="none"/>
        </w:rPr>
        <w:t>.</w:t>
      </w:r>
      <w:r>
        <w:rPr>
          <w:rFonts w:hint="eastAsia" w:ascii="宋体" w:hAnsi="宋体" w:cs="Arial"/>
          <w:color w:val="000000"/>
          <w:sz w:val="24"/>
          <w:highlight w:val="none"/>
        </w:rPr>
        <w:t>2</w:t>
      </w:r>
      <w:r>
        <w:rPr>
          <w:rFonts w:ascii="宋体" w:hAnsi="宋体" w:cs="Arial"/>
          <w:color w:val="000000"/>
          <w:sz w:val="24"/>
          <w:highlight w:val="none"/>
        </w:rPr>
        <w:t xml:space="preserve"> </w:t>
      </w:r>
      <w:r>
        <w:rPr>
          <w:rFonts w:hint="eastAsia" w:ascii="宋体" w:hAnsi="宋体" w:cs="Arial"/>
          <w:color w:val="000000"/>
          <w:sz w:val="24"/>
          <w:highlight w:val="none"/>
        </w:rPr>
        <w:t>应答文件未按本卷规定格式、内容填写，或应答文件内容与采购文件有严重背离。</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w:t>
      </w:r>
      <w:r>
        <w:rPr>
          <w:rFonts w:hint="eastAsia" w:ascii="宋体" w:hAnsi="宋体" w:cs="Arial"/>
          <w:color w:val="000000"/>
          <w:sz w:val="24"/>
          <w:highlight w:val="none"/>
        </w:rPr>
        <w:t>5</w:t>
      </w:r>
      <w:r>
        <w:rPr>
          <w:rFonts w:ascii="宋体" w:hAnsi="宋体" w:cs="Arial"/>
          <w:color w:val="000000"/>
          <w:sz w:val="24"/>
          <w:highlight w:val="none"/>
        </w:rPr>
        <w:t>.</w:t>
      </w:r>
      <w:r>
        <w:rPr>
          <w:rFonts w:hint="eastAsia" w:ascii="宋体" w:hAnsi="宋体" w:cs="Arial"/>
          <w:color w:val="000000"/>
          <w:sz w:val="24"/>
          <w:highlight w:val="none"/>
        </w:rPr>
        <w:t>3</w:t>
      </w:r>
      <w:r>
        <w:rPr>
          <w:rFonts w:ascii="宋体" w:hAnsi="宋体" w:cs="Arial"/>
          <w:color w:val="000000"/>
          <w:sz w:val="24"/>
          <w:highlight w:val="none"/>
        </w:rPr>
        <w:t xml:space="preserve"> </w:t>
      </w:r>
      <w:r>
        <w:rPr>
          <w:rFonts w:hint="eastAsia" w:ascii="宋体" w:hAnsi="宋体" w:cs="Arial"/>
          <w:color w:val="000000"/>
          <w:sz w:val="24"/>
          <w:highlight w:val="none"/>
        </w:rPr>
        <w:t>未按要求报价或在应答文件中对任何一个应答方案有两个以上（含两个）的报价，且未明确哪个报价有效。</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w:t>
      </w:r>
      <w:r>
        <w:rPr>
          <w:rFonts w:hint="eastAsia" w:ascii="宋体" w:hAnsi="宋体" w:cs="Arial"/>
          <w:color w:val="000000"/>
          <w:sz w:val="24"/>
          <w:highlight w:val="none"/>
        </w:rPr>
        <w:t>5</w:t>
      </w:r>
      <w:r>
        <w:rPr>
          <w:rFonts w:ascii="宋体" w:hAnsi="宋体" w:cs="Arial"/>
          <w:color w:val="000000"/>
          <w:sz w:val="24"/>
          <w:highlight w:val="none"/>
        </w:rPr>
        <w:t>.</w:t>
      </w:r>
      <w:r>
        <w:rPr>
          <w:rFonts w:hint="eastAsia" w:ascii="宋体" w:hAnsi="宋体" w:cs="Arial"/>
          <w:color w:val="000000"/>
          <w:sz w:val="24"/>
          <w:highlight w:val="none"/>
        </w:rPr>
        <w:t>4</w:t>
      </w:r>
      <w:r>
        <w:rPr>
          <w:rFonts w:ascii="宋体" w:hAnsi="宋体" w:cs="Arial"/>
          <w:color w:val="000000"/>
          <w:sz w:val="24"/>
          <w:highlight w:val="none"/>
        </w:rPr>
        <w:t xml:space="preserve"> </w:t>
      </w:r>
      <w:r>
        <w:rPr>
          <w:rFonts w:hint="eastAsia" w:ascii="宋体" w:hAnsi="宋体" w:cs="Arial"/>
          <w:color w:val="000000"/>
          <w:sz w:val="24"/>
          <w:highlight w:val="none"/>
        </w:rPr>
        <w:t>应答人的报价低于成本的。</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6.</w:t>
      </w:r>
      <w:r>
        <w:rPr>
          <w:rFonts w:hint="eastAsia" w:ascii="宋体" w:hAnsi="宋体" w:cs="Arial"/>
          <w:color w:val="000000"/>
          <w:sz w:val="24"/>
          <w:highlight w:val="none"/>
        </w:rPr>
        <w:t>5</w:t>
      </w:r>
      <w:r>
        <w:rPr>
          <w:rFonts w:ascii="宋体" w:hAnsi="宋体" w:cs="Arial"/>
          <w:color w:val="000000"/>
          <w:sz w:val="24"/>
          <w:highlight w:val="none"/>
        </w:rPr>
        <w:t>.</w:t>
      </w:r>
      <w:r>
        <w:rPr>
          <w:rFonts w:hint="eastAsia" w:ascii="宋体" w:hAnsi="宋体" w:cs="Arial"/>
          <w:color w:val="000000"/>
          <w:sz w:val="24"/>
          <w:highlight w:val="none"/>
        </w:rPr>
        <w:t>5其它不符合采购公告或文件要求的应答。</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6.5.6应答人不响应采购文件中“安全第一、生命至上卡”的相关要求。</w:t>
      </w:r>
    </w:p>
    <w:p>
      <w:pPr>
        <w:pStyle w:val="5"/>
        <w:adjustRightInd w:val="0"/>
        <w:snapToGrid w:val="0"/>
        <w:spacing w:before="0" w:after="0" w:line="360" w:lineRule="auto"/>
        <w:ind w:right="105" w:rightChars="50"/>
        <w:jc w:val="both"/>
        <w:rPr>
          <w:rFonts w:ascii="宋体" w:hAnsi="宋体" w:eastAsia="宋体" w:cs="Arial"/>
          <w:szCs w:val="32"/>
          <w:highlight w:val="none"/>
        </w:rPr>
      </w:pPr>
    </w:p>
    <w:p>
      <w:pPr>
        <w:adjustRightInd w:val="0"/>
        <w:snapToGrid w:val="0"/>
        <w:spacing w:line="360" w:lineRule="auto"/>
        <w:ind w:left="105" w:leftChars="50" w:right="105" w:rightChars="50" w:firstLine="480" w:firstLineChars="200"/>
        <w:rPr>
          <w:rFonts w:ascii="宋体" w:hAnsi="宋体" w:cs="Arial"/>
          <w:color w:val="000000"/>
          <w:sz w:val="24"/>
          <w:highlight w:val="yellow"/>
        </w:rPr>
      </w:pPr>
    </w:p>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yellow"/>
        </w:rPr>
      </w:pPr>
      <w:bookmarkStart w:id="21" w:name="_Toc316307092"/>
      <w:bookmarkStart w:id="22" w:name="_Toc67303276"/>
      <w:bookmarkStart w:id="23" w:name="_Toc104191894"/>
      <w:bookmarkStart w:id="24" w:name="_Toc280883207"/>
      <w:r>
        <w:rPr>
          <w:rFonts w:hint="eastAsia" w:ascii="宋体" w:hAnsi="宋体" w:eastAsia="宋体" w:cs="Arial"/>
          <w:color w:val="000000"/>
          <w:szCs w:val="32"/>
          <w:highlight w:val="none"/>
          <w:lang w:val="en-US" w:eastAsia="zh-CN"/>
        </w:rPr>
        <w:t>6</w:t>
      </w:r>
      <w:r>
        <w:rPr>
          <w:rFonts w:hint="eastAsia" w:ascii="宋体" w:hAnsi="宋体" w:eastAsia="宋体" w:cs="Arial"/>
          <w:color w:val="000000"/>
          <w:szCs w:val="32"/>
          <w:highlight w:val="none"/>
        </w:rPr>
        <w:t xml:space="preserve"> 评</w:t>
      </w:r>
      <w:bookmarkEnd w:id="21"/>
      <w:bookmarkEnd w:id="22"/>
      <w:bookmarkEnd w:id="23"/>
      <w:bookmarkEnd w:id="24"/>
      <w:r>
        <w:rPr>
          <w:rFonts w:hint="eastAsia" w:ascii="宋体" w:hAnsi="宋体" w:eastAsia="宋体" w:cs="Arial"/>
          <w:color w:val="000000"/>
          <w:szCs w:val="32"/>
          <w:highlight w:val="none"/>
        </w:rPr>
        <w:t>审</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8.1 </w:t>
      </w:r>
      <w:r>
        <w:rPr>
          <w:rFonts w:hint="eastAsia" w:ascii="宋体" w:hAnsi="宋体" w:cs="Arial"/>
          <w:color w:val="000000"/>
          <w:sz w:val="24"/>
          <w:highlight w:val="none"/>
        </w:rPr>
        <w:t>评审对象和依据</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评审对象为应答文件（及其有效的补充文件）；评审的依据为采购文件（及其有效的补充或修改文件）。</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8.2 </w:t>
      </w:r>
      <w:r>
        <w:rPr>
          <w:rFonts w:hint="eastAsia" w:ascii="宋体" w:hAnsi="宋体" w:cs="Arial"/>
          <w:color w:val="000000"/>
          <w:sz w:val="24"/>
          <w:highlight w:val="none"/>
        </w:rPr>
        <w:t>评审程序</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8.2.1 </w:t>
      </w:r>
      <w:r>
        <w:rPr>
          <w:rFonts w:hint="eastAsia" w:ascii="宋体" w:hAnsi="宋体" w:cs="Arial"/>
          <w:color w:val="000000"/>
          <w:sz w:val="24"/>
          <w:highlight w:val="none"/>
        </w:rPr>
        <w:t>阅读采购及应答文件，整理资料</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评审工作组各专业组分别阅读采购及应答文件，整理资料。对应答文件中不满足采购文件要求、不清楚、不明确之处进行专门标注和记录，整理出需要应答人澄清的问题。</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8.2.2 </w:t>
      </w:r>
      <w:r>
        <w:rPr>
          <w:rFonts w:hint="eastAsia" w:ascii="宋体" w:hAnsi="宋体" w:cs="Arial"/>
          <w:color w:val="000000"/>
          <w:sz w:val="24"/>
          <w:highlight w:val="none"/>
        </w:rPr>
        <w:t>初评</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评审工作组对所有应答文件进行审查，检查应答文件是否对采购文件做出了实质性的响应，</w:t>
      </w:r>
      <w:r>
        <w:rPr>
          <w:rFonts w:ascii="宋体" w:hAnsi="宋体" w:cs="Arial"/>
          <w:color w:val="000000"/>
          <w:sz w:val="24"/>
          <w:highlight w:val="none"/>
        </w:rPr>
        <w:t xml:space="preserve"> </w:t>
      </w:r>
      <w:r>
        <w:rPr>
          <w:rFonts w:hint="eastAsia" w:ascii="宋体" w:hAnsi="宋体" w:cs="Arial"/>
          <w:color w:val="000000"/>
          <w:sz w:val="24"/>
          <w:highlight w:val="none"/>
        </w:rPr>
        <w:t>应答文件与采购文件有无实质性偏离，以确定其是否为有效的应答文件。在此之前，首先要对应答人特别是技术支持方进行资格审查。</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8.2.3 </w:t>
      </w:r>
      <w:r>
        <w:rPr>
          <w:rFonts w:hint="eastAsia" w:ascii="宋体" w:hAnsi="宋体" w:cs="Arial"/>
          <w:color w:val="000000"/>
          <w:sz w:val="24"/>
          <w:highlight w:val="none"/>
        </w:rPr>
        <w:t>应答文件的澄清</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采购人可针对应答文件中含义不明确的内容要求应答人说明和澄清，一般以澄清会的形式进行。由应答人当面或传真形式澄清采购人提出的需要澄清的问题，并整理出书面资料（有应答人法定代表人或其授权人签字、公章、日期等），作为应答文件的有效的补充文件。</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说明和澄清不得超出原应答文件的范围或对原应答文件内容作实质性修改。</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bookmarkStart w:id="25" w:name="_Toc115689628"/>
      <w:bookmarkStart w:id="26" w:name="_Toc316307093"/>
      <w:r>
        <w:rPr>
          <w:rFonts w:ascii="宋体" w:hAnsi="宋体" w:cs="Arial"/>
          <w:color w:val="000000"/>
          <w:sz w:val="24"/>
          <w:highlight w:val="none"/>
        </w:rPr>
        <w:t xml:space="preserve">8.2.4 </w:t>
      </w:r>
      <w:r>
        <w:rPr>
          <w:rFonts w:hint="eastAsia" w:ascii="宋体" w:hAnsi="宋体" w:cs="Arial"/>
          <w:color w:val="000000"/>
          <w:sz w:val="24"/>
          <w:highlight w:val="none"/>
        </w:rPr>
        <w:t>详评</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本次评审采用综合评分法，按照商务因素评分、技术因素评分和价格评分乘以分值权重加权得出综合评分；按照综合评分的高低进行综合排序，综合排序高者优先，依法推荐中选候选人和中选人。综合评分相等时，以评审价低者为优先；评审价也相同时，以技术评审得分较高为优先。分值权重构成：技术50%、商务</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%、报价</w:t>
      </w:r>
      <w:r>
        <w:rPr>
          <w:rFonts w:hint="eastAsia" w:ascii="宋体" w:hAnsi="宋体" w:cs="Arial"/>
          <w:color w:val="000000"/>
          <w:sz w:val="24"/>
          <w:highlight w:val="none"/>
          <w:lang w:val="en-US" w:eastAsia="zh-CN"/>
        </w:rPr>
        <w:t>30</w:t>
      </w:r>
      <w:r>
        <w:rPr>
          <w:rFonts w:hint="eastAsia" w:ascii="宋体" w:hAnsi="宋体" w:cs="Arial"/>
          <w:color w:val="000000"/>
          <w:sz w:val="24"/>
          <w:highlight w:val="none"/>
        </w:rPr>
        <w:t>%。</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采购小组完成评审后，应当向采购人提交书面采购报告。</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采购文件的详评包括技术评审和商务评审。</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应答人应按采购文件规定的币种（人民币）进行报价。</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8.2.4.3采购人不保证报价最低的应答人中选，对未中选的应答人无解释的义务。</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8.2.4.4由于应答人不提供真实材料，采购人有权在评审中对该应答人不予考虑。</w:t>
      </w:r>
    </w:p>
    <w:p>
      <w:pPr>
        <w:spacing w:line="360" w:lineRule="auto"/>
        <w:ind w:firstLine="480" w:firstLineChars="200"/>
        <w:rPr>
          <w:rFonts w:ascii="宋体" w:hAnsi="宋体" w:cs="Arial"/>
          <w:color w:val="000000"/>
          <w:sz w:val="24"/>
          <w:highlight w:val="none"/>
        </w:rPr>
      </w:pPr>
    </w:p>
    <w:bookmarkEnd w:id="25"/>
    <w:bookmarkEnd w:id="26"/>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r>
        <w:rPr>
          <w:rFonts w:hint="eastAsia" w:ascii="宋体" w:hAnsi="宋体" w:eastAsia="宋体" w:cs="Arial"/>
          <w:color w:val="000000"/>
          <w:szCs w:val="32"/>
          <w:highlight w:val="none"/>
          <w:lang w:val="en-US" w:eastAsia="zh-CN"/>
        </w:rPr>
        <w:t>7</w:t>
      </w:r>
      <w:r>
        <w:rPr>
          <w:rFonts w:hint="eastAsia" w:ascii="宋体" w:hAnsi="宋体" w:eastAsia="宋体" w:cs="Arial"/>
          <w:color w:val="000000"/>
          <w:szCs w:val="32"/>
          <w:highlight w:val="none"/>
        </w:rPr>
        <w:t xml:space="preserve"> 审定</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9.1</w:t>
      </w:r>
      <w:r>
        <w:rPr>
          <w:rFonts w:hint="eastAsia" w:ascii="宋体" w:hAnsi="宋体" w:cs="Arial"/>
          <w:color w:val="000000"/>
          <w:sz w:val="24"/>
          <w:highlight w:val="none"/>
        </w:rPr>
        <w:t>采购小组根据排序和对应答人资格复审的情况，提出中选候选人名单和顺序，经采购领导小组同意后按规定报批审定。</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9.2</w:t>
      </w:r>
      <w:r>
        <w:rPr>
          <w:rFonts w:hint="eastAsia" w:ascii="宋体" w:hAnsi="宋体" w:cs="Arial"/>
          <w:color w:val="000000"/>
          <w:sz w:val="24"/>
          <w:highlight w:val="none"/>
        </w:rPr>
        <w:t>未中选的供应商，采购人不再另行通知。</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p>
    <w:p>
      <w:pPr>
        <w:pStyle w:val="5"/>
        <w:adjustRightInd w:val="0"/>
        <w:snapToGrid w:val="0"/>
        <w:spacing w:before="0" w:after="0" w:line="360" w:lineRule="auto"/>
        <w:ind w:left="105" w:leftChars="50" w:right="105" w:rightChars="50"/>
        <w:jc w:val="center"/>
        <w:rPr>
          <w:rFonts w:ascii="宋体" w:hAnsi="宋体" w:eastAsia="宋体" w:cs="Arial"/>
          <w:color w:val="auto"/>
          <w:szCs w:val="32"/>
          <w:highlight w:val="none"/>
        </w:rPr>
      </w:pPr>
      <w:bookmarkStart w:id="27" w:name="_Toc316307094"/>
      <w:bookmarkStart w:id="28" w:name="_Toc280883209"/>
      <w:bookmarkStart w:id="29" w:name="_Toc104191897"/>
      <w:bookmarkStart w:id="30" w:name="_Toc67303279"/>
      <w:bookmarkStart w:id="31" w:name="_Toc115689630"/>
      <w:r>
        <w:rPr>
          <w:rFonts w:hint="eastAsia" w:ascii="宋体" w:hAnsi="宋体" w:eastAsia="宋体" w:cs="Arial"/>
          <w:color w:val="auto"/>
          <w:szCs w:val="32"/>
          <w:highlight w:val="none"/>
          <w:lang w:val="en-US" w:eastAsia="zh-CN"/>
        </w:rPr>
        <w:t>8</w:t>
      </w:r>
      <w:r>
        <w:rPr>
          <w:rFonts w:hint="eastAsia" w:ascii="宋体" w:hAnsi="宋体" w:eastAsia="宋体" w:cs="Arial"/>
          <w:color w:val="auto"/>
          <w:szCs w:val="32"/>
          <w:highlight w:val="none"/>
        </w:rPr>
        <w:t xml:space="preserve"> 授予合同</w:t>
      </w:r>
      <w:bookmarkEnd w:id="27"/>
      <w:bookmarkEnd w:id="28"/>
      <w:bookmarkEnd w:id="29"/>
      <w:bookmarkEnd w:id="30"/>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10.1 </w:t>
      </w:r>
      <w:r>
        <w:rPr>
          <w:rFonts w:hint="eastAsia" w:ascii="宋体" w:hAnsi="宋体" w:cs="Arial"/>
          <w:color w:val="000000"/>
          <w:sz w:val="24"/>
          <w:highlight w:val="none"/>
        </w:rPr>
        <w:t>中选通知</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以</w:t>
      </w:r>
      <w:r>
        <w:rPr>
          <w:rFonts w:hint="eastAsia" w:ascii="宋体" w:hAnsi="宋体" w:cs="Arial"/>
          <w:b w:val="0"/>
          <w:bCs/>
          <w:sz w:val="24"/>
          <w:highlight w:val="none"/>
        </w:rPr>
        <w:t>岷山</w:t>
      </w:r>
      <w:r>
        <w:rPr>
          <w:rFonts w:hint="eastAsia" w:ascii="宋体" w:hAnsi="宋体" w:cs="Arial"/>
          <w:b w:val="0"/>
          <w:bCs/>
          <w:sz w:val="24"/>
          <w:highlight w:val="none"/>
          <w:lang w:eastAsia="zh-CN"/>
        </w:rPr>
        <w:t>环能高科股份</w:t>
      </w:r>
      <w:r>
        <w:rPr>
          <w:rFonts w:hint="eastAsia" w:ascii="宋体" w:hAnsi="宋体" w:cs="Arial"/>
          <w:b w:val="0"/>
          <w:bCs/>
          <w:sz w:val="24"/>
          <w:highlight w:val="none"/>
        </w:rPr>
        <w:t>公司</w:t>
      </w:r>
      <w:r>
        <w:rPr>
          <w:rFonts w:hint="eastAsia" w:ascii="宋体" w:hAnsi="宋体" w:cs="Arial"/>
          <w:color w:val="000000"/>
          <w:sz w:val="24"/>
          <w:highlight w:val="none"/>
        </w:rPr>
        <w:t>发布的中选公告为准。</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 xml:space="preserve">10.2 </w:t>
      </w:r>
      <w:r>
        <w:rPr>
          <w:rFonts w:hint="eastAsia" w:ascii="宋体" w:hAnsi="宋体" w:cs="Arial"/>
          <w:color w:val="000000"/>
          <w:sz w:val="24"/>
          <w:highlight w:val="none"/>
        </w:rPr>
        <w:t>签约与中选通知</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中选候选人在看到公告后，必须在规定的时间内，准时派授权代表到指定地点按采购文件规定的合同条款和格式与项目法人草签合同。合同的每一页（包括所有附件）均应校签。合同价格、合同条款、技术要求和供货范围等不得与中选状态有任何改变。</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合同签订后，向未中选人发出《未中选通知书》或电话通知，同时按采购文件及相关规定退还所有应答人应答保证金。</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10.3</w:t>
      </w:r>
      <w:r>
        <w:rPr>
          <w:rFonts w:hint="eastAsia" w:ascii="宋体" w:hAnsi="宋体" w:cs="Arial"/>
          <w:color w:val="000000"/>
          <w:sz w:val="24"/>
          <w:highlight w:val="none"/>
        </w:rPr>
        <w:t>合同生效</w:t>
      </w:r>
    </w:p>
    <w:p>
      <w:pPr>
        <w:adjustRightInd w:val="0"/>
        <w:snapToGrid w:val="0"/>
        <w:spacing w:line="360" w:lineRule="auto"/>
        <w:ind w:left="105" w:leftChars="50" w:right="105" w:rightChars="50" w:firstLine="480" w:firstLineChars="200"/>
        <w:rPr>
          <w:rFonts w:ascii="宋体" w:hAnsi="宋体" w:cs="Arial"/>
          <w:color w:val="000000"/>
          <w:highlight w:val="none"/>
        </w:rPr>
      </w:pPr>
      <w:r>
        <w:rPr>
          <w:rFonts w:ascii="宋体" w:hAnsi="宋体" w:cs="Arial"/>
          <w:color w:val="000000"/>
          <w:sz w:val="24"/>
          <w:highlight w:val="none"/>
        </w:rPr>
        <w:t>10.3.1</w:t>
      </w:r>
      <w:r>
        <w:rPr>
          <w:rFonts w:hint="eastAsia" w:ascii="宋体" w:hAnsi="宋体" w:cs="Arial"/>
          <w:color w:val="000000"/>
          <w:sz w:val="24"/>
          <w:highlight w:val="none"/>
        </w:rPr>
        <w:t>双方的法定代表人或被授权人（须经法定代表人书面授权委托）签字并加盖公章后生效。</w:t>
      </w:r>
    </w:p>
    <w:p>
      <w:pPr>
        <w:adjustRightInd w:val="0"/>
        <w:snapToGrid w:val="0"/>
        <w:spacing w:line="360" w:lineRule="auto"/>
        <w:ind w:left="105" w:leftChars="50" w:right="105" w:rightChars="50" w:firstLine="420" w:firstLineChars="200"/>
        <w:rPr>
          <w:rFonts w:ascii="宋体" w:hAnsi="宋体" w:cs="Arial"/>
          <w:color w:val="000000"/>
          <w:highlight w:val="none"/>
        </w:rPr>
      </w:pPr>
    </w:p>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bookmarkStart w:id="32" w:name="_Toc316307095"/>
      <w:r>
        <w:rPr>
          <w:rFonts w:hint="eastAsia" w:ascii="宋体" w:hAnsi="宋体" w:eastAsia="宋体" w:cs="Arial"/>
          <w:color w:val="000000"/>
          <w:szCs w:val="32"/>
          <w:highlight w:val="none"/>
          <w:lang w:val="en-US" w:eastAsia="zh-CN"/>
        </w:rPr>
        <w:t>9</w:t>
      </w:r>
      <w:r>
        <w:rPr>
          <w:rFonts w:hint="eastAsia" w:ascii="宋体" w:hAnsi="宋体" w:eastAsia="宋体" w:cs="Arial"/>
          <w:color w:val="000000"/>
          <w:szCs w:val="32"/>
          <w:highlight w:val="none"/>
        </w:rPr>
        <w:t xml:space="preserve"> 纪律与保密</w:t>
      </w:r>
      <w:bookmarkEnd w:id="31"/>
      <w:bookmarkEnd w:id="32"/>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11.1</w:t>
      </w:r>
      <w:r>
        <w:rPr>
          <w:rFonts w:hint="eastAsia" w:ascii="宋体" w:hAnsi="宋体" w:cs="Arial"/>
          <w:color w:val="000000"/>
          <w:sz w:val="24"/>
          <w:highlight w:val="none"/>
        </w:rPr>
        <w:t>从应答截止日期到授予合同时止，有关应答文件的审查、澄清、评议以及有关授予合同的意向等一切情况都不得透露给应答人或与上述工作无关的单位和个人。</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11.2</w:t>
      </w:r>
      <w:r>
        <w:rPr>
          <w:rFonts w:hint="eastAsia" w:ascii="宋体" w:hAnsi="宋体" w:cs="Arial"/>
          <w:color w:val="000000"/>
          <w:sz w:val="24"/>
          <w:highlight w:val="none"/>
        </w:rPr>
        <w:t>参与评审的人员应严格遵守国家有关保密的法律、法规和规定，严格自律，并接受上级主管部门和有关部门的审计和监督。</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11.3</w:t>
      </w:r>
      <w:r>
        <w:rPr>
          <w:rFonts w:hint="eastAsia" w:ascii="宋体" w:hAnsi="宋体" w:cs="Arial"/>
          <w:color w:val="000000"/>
          <w:sz w:val="24"/>
          <w:highlight w:val="none"/>
        </w:rPr>
        <w:t>应答人申报的关于资质、资格、资信、业绩等的文件和材料必须真实准确，不得弄虚作假，不得蓄意隐瞒。</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11.4</w:t>
      </w:r>
      <w:r>
        <w:rPr>
          <w:rFonts w:hint="eastAsia" w:ascii="宋体" w:hAnsi="宋体" w:cs="Arial"/>
          <w:color w:val="000000"/>
          <w:sz w:val="24"/>
          <w:highlight w:val="none"/>
        </w:rPr>
        <w:t>应答人不得串通作弊，哄抬应答价，致使评定困难或无法评定。</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11.5</w:t>
      </w:r>
      <w:r>
        <w:rPr>
          <w:rFonts w:hint="eastAsia" w:ascii="宋体" w:hAnsi="宋体" w:cs="Arial"/>
          <w:color w:val="000000"/>
          <w:sz w:val="24"/>
          <w:highlight w:val="none"/>
        </w:rPr>
        <w:t>应答人不得采用不正当手段妨碍、排挤其它应答人，扰乱采购市场，破坏公平竞争。</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11.6</w:t>
      </w:r>
      <w:r>
        <w:rPr>
          <w:rFonts w:hint="eastAsia" w:ascii="宋体" w:hAnsi="宋体" w:cs="Arial"/>
          <w:color w:val="000000"/>
          <w:sz w:val="24"/>
          <w:highlight w:val="none"/>
        </w:rPr>
        <w:t>应答人不得以任何形式打听和搜集评审机密，不得以任何形式干扰评审或评定工作。</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ascii="宋体" w:hAnsi="宋体" w:cs="Arial"/>
          <w:color w:val="000000"/>
          <w:sz w:val="24"/>
          <w:highlight w:val="none"/>
        </w:rPr>
        <w:t>11.7</w:t>
      </w:r>
      <w:r>
        <w:rPr>
          <w:rFonts w:hint="eastAsia" w:ascii="宋体" w:hAnsi="宋体" w:cs="Arial"/>
          <w:color w:val="000000"/>
          <w:sz w:val="24"/>
          <w:highlight w:val="none"/>
        </w:rPr>
        <w:t>应答人若违反上述要求，其应答将被废除，且对其应答保证金予以没收。</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p>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bookmarkStart w:id="33" w:name="_Toc316307096"/>
      <w:bookmarkStart w:id="34" w:name="_Toc115689631"/>
      <w:r>
        <w:rPr>
          <w:rFonts w:hint="eastAsia" w:ascii="宋体" w:hAnsi="宋体" w:eastAsia="宋体" w:cs="Arial"/>
          <w:color w:val="000000"/>
          <w:szCs w:val="32"/>
          <w:highlight w:val="none"/>
        </w:rPr>
        <w:t>1</w:t>
      </w:r>
      <w:r>
        <w:rPr>
          <w:rFonts w:hint="eastAsia" w:ascii="宋体" w:hAnsi="宋体" w:eastAsia="宋体" w:cs="Arial"/>
          <w:color w:val="000000"/>
          <w:szCs w:val="32"/>
          <w:highlight w:val="none"/>
          <w:lang w:val="en-US" w:eastAsia="zh-CN"/>
        </w:rPr>
        <w:t>0</w:t>
      </w:r>
      <w:r>
        <w:rPr>
          <w:rFonts w:hint="eastAsia" w:ascii="宋体" w:hAnsi="宋体" w:eastAsia="宋体" w:cs="Arial"/>
          <w:color w:val="000000"/>
          <w:szCs w:val="32"/>
          <w:highlight w:val="none"/>
        </w:rPr>
        <w:t xml:space="preserve"> 应答费用</w:t>
      </w:r>
      <w:bookmarkEnd w:id="33"/>
      <w:bookmarkEnd w:id="34"/>
    </w:p>
    <w:p>
      <w:pPr>
        <w:adjustRightInd w:val="0"/>
        <w:snapToGrid w:val="0"/>
        <w:spacing w:line="360" w:lineRule="auto"/>
        <w:ind w:left="105" w:leftChars="50" w:right="105" w:rightChars="50" w:firstLine="480" w:firstLineChars="200"/>
        <w:rPr>
          <w:rFonts w:ascii="宋体" w:hAnsi="宋体" w:cs="Arial"/>
          <w:color w:val="000000"/>
          <w:sz w:val="24"/>
          <w:highlight w:val="none"/>
        </w:rPr>
      </w:pPr>
      <w:r>
        <w:rPr>
          <w:rFonts w:hint="eastAsia" w:ascii="宋体" w:hAnsi="宋体" w:cs="Arial"/>
          <w:color w:val="000000"/>
          <w:sz w:val="24"/>
          <w:highlight w:val="none"/>
        </w:rPr>
        <w:t>12.1应答费用</w:t>
      </w:r>
    </w:p>
    <w:p>
      <w:pPr>
        <w:adjustRightInd w:val="0"/>
        <w:snapToGrid w:val="0"/>
        <w:spacing w:line="360" w:lineRule="auto"/>
        <w:ind w:left="105" w:leftChars="50" w:right="105" w:rightChars="50" w:firstLine="480" w:firstLineChars="200"/>
        <w:rPr>
          <w:rFonts w:ascii="宋体" w:hAnsi="宋体" w:cs="Arial"/>
          <w:color w:val="000000"/>
          <w:sz w:val="24"/>
          <w:highlight w:val="yellow"/>
        </w:rPr>
      </w:pPr>
      <w:r>
        <w:rPr>
          <w:rFonts w:hint="eastAsia" w:ascii="宋体" w:hAnsi="宋体" w:cs="Arial"/>
          <w:color w:val="000000"/>
          <w:sz w:val="24"/>
          <w:highlight w:val="none"/>
        </w:rPr>
        <w:t>一切与应答有关的费用均由应答人自理。</w:t>
      </w:r>
    </w:p>
    <w:p>
      <w:pPr>
        <w:adjustRightInd w:val="0"/>
        <w:snapToGrid w:val="0"/>
        <w:spacing w:line="360" w:lineRule="auto"/>
        <w:ind w:right="105" w:rightChars="50"/>
        <w:rPr>
          <w:rFonts w:ascii="宋体" w:hAnsi="宋体" w:cs="Arial"/>
          <w:b/>
          <w:color w:val="000000"/>
          <w:sz w:val="24"/>
          <w:highlight w:val="yellow"/>
        </w:rPr>
      </w:pPr>
    </w:p>
    <w:p>
      <w:pPr>
        <w:adjustRightInd w:val="0"/>
        <w:snapToGrid w:val="0"/>
        <w:spacing w:line="360" w:lineRule="auto"/>
        <w:ind w:left="105" w:leftChars="50" w:right="105" w:rightChars="50" w:firstLine="480" w:firstLineChars="200"/>
        <w:rPr>
          <w:rFonts w:ascii="宋体" w:hAnsi="宋体" w:cs="Arial"/>
          <w:color w:val="000000"/>
          <w:sz w:val="24"/>
          <w:highlight w:val="yellow"/>
        </w:rPr>
      </w:pPr>
    </w:p>
    <w:bookmarkEnd w:id="4"/>
    <w:p>
      <w:pPr>
        <w:pStyle w:val="5"/>
        <w:adjustRightInd w:val="0"/>
        <w:snapToGrid w:val="0"/>
        <w:spacing w:before="0" w:after="0" w:line="360" w:lineRule="auto"/>
        <w:ind w:left="105" w:leftChars="50" w:right="105" w:rightChars="50"/>
        <w:jc w:val="center"/>
        <w:rPr>
          <w:rFonts w:ascii="宋体" w:hAnsi="宋体" w:eastAsia="宋体" w:cs="Arial"/>
          <w:color w:val="auto"/>
          <w:szCs w:val="32"/>
          <w:highlight w:val="none"/>
        </w:rPr>
      </w:pPr>
      <w:bookmarkStart w:id="35" w:name="OLE_LINK4"/>
      <w:bookmarkStart w:id="36" w:name="OLE_LINK5"/>
      <w:bookmarkStart w:id="37" w:name="OLE_LINK6"/>
      <w:r>
        <w:rPr>
          <w:rFonts w:ascii="宋体" w:hAnsi="宋体" w:eastAsia="宋体" w:cs="Arial"/>
          <w:color w:val="auto"/>
          <w:szCs w:val="32"/>
          <w:highlight w:val="none"/>
        </w:rPr>
        <w:t>1</w:t>
      </w:r>
      <w:r>
        <w:rPr>
          <w:rFonts w:hint="eastAsia" w:ascii="宋体" w:hAnsi="宋体" w:eastAsia="宋体" w:cs="Arial"/>
          <w:color w:val="auto"/>
          <w:szCs w:val="32"/>
          <w:highlight w:val="none"/>
          <w:lang w:val="en-US" w:eastAsia="zh-CN"/>
        </w:rPr>
        <w:t>1</w:t>
      </w:r>
      <w:r>
        <w:rPr>
          <w:rFonts w:hint="eastAsia" w:ascii="宋体" w:hAnsi="宋体" w:eastAsia="宋体" w:cs="Arial"/>
          <w:color w:val="auto"/>
          <w:szCs w:val="32"/>
          <w:highlight w:val="none"/>
        </w:rPr>
        <w:t xml:space="preserve"> 应答保证金</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13.1应答人必须在</w:t>
      </w:r>
      <w:r>
        <w:rPr>
          <w:rFonts w:hint="eastAsia" w:ascii="宋体" w:hAnsi="宋体" w:cs="Arial"/>
          <w:color w:val="auto"/>
          <w:sz w:val="24"/>
          <w:highlight w:val="none"/>
          <w:lang w:eastAsia="zh-CN"/>
        </w:rPr>
        <w:t>招标办</w:t>
      </w:r>
      <w:r>
        <w:rPr>
          <w:rFonts w:hint="eastAsia" w:ascii="宋体" w:hAnsi="宋体" w:cs="Arial"/>
          <w:color w:val="auto"/>
          <w:sz w:val="24"/>
          <w:highlight w:val="none"/>
        </w:rPr>
        <w:t>公开询价截止时间前按照前附表规定的金额以应答人基本账户电汇（不允许以个人名义电汇或其他公司名义代汇）。</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13.2发生以下情况之一者，应答保证金将不予返还。</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13.2</w:t>
      </w:r>
      <w:r>
        <w:rPr>
          <w:rFonts w:ascii="宋体" w:hAnsi="宋体" w:cs="Arial"/>
          <w:color w:val="auto"/>
          <w:sz w:val="24"/>
          <w:highlight w:val="none"/>
        </w:rPr>
        <w:t xml:space="preserve">.1 </w:t>
      </w:r>
      <w:r>
        <w:rPr>
          <w:rFonts w:hint="eastAsia" w:ascii="宋体" w:hAnsi="宋体" w:cs="Arial"/>
          <w:color w:val="auto"/>
          <w:sz w:val="24"/>
          <w:highlight w:val="none"/>
        </w:rPr>
        <w:t>应答人在应答有效期内撤回其应答。</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13.2</w:t>
      </w:r>
      <w:r>
        <w:rPr>
          <w:rFonts w:ascii="宋体" w:hAnsi="宋体" w:cs="Arial"/>
          <w:color w:val="auto"/>
          <w:sz w:val="24"/>
          <w:highlight w:val="none"/>
        </w:rPr>
        <w:t>.</w:t>
      </w:r>
      <w:r>
        <w:rPr>
          <w:rFonts w:hint="eastAsia" w:ascii="宋体" w:hAnsi="宋体" w:cs="Arial"/>
          <w:color w:val="auto"/>
          <w:sz w:val="24"/>
          <w:highlight w:val="none"/>
        </w:rPr>
        <w:t>2</w:t>
      </w:r>
      <w:r>
        <w:rPr>
          <w:rFonts w:ascii="宋体" w:hAnsi="宋体" w:cs="Arial"/>
          <w:color w:val="auto"/>
          <w:sz w:val="24"/>
          <w:highlight w:val="none"/>
        </w:rPr>
        <w:t xml:space="preserve"> </w:t>
      </w:r>
      <w:r>
        <w:rPr>
          <w:rFonts w:hint="eastAsia" w:ascii="宋体" w:hAnsi="宋体" w:cs="Arial"/>
          <w:color w:val="auto"/>
          <w:sz w:val="24"/>
          <w:highlight w:val="none"/>
        </w:rPr>
        <w:t>应答人在应答截止日期后对应答文件作实质性修改。</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13.2</w:t>
      </w:r>
      <w:r>
        <w:rPr>
          <w:rFonts w:ascii="宋体" w:hAnsi="宋体" w:cs="Arial"/>
          <w:color w:val="auto"/>
          <w:sz w:val="24"/>
          <w:highlight w:val="none"/>
        </w:rPr>
        <w:t>.</w:t>
      </w:r>
      <w:r>
        <w:rPr>
          <w:rFonts w:hint="eastAsia" w:ascii="宋体" w:hAnsi="宋体" w:cs="Arial"/>
          <w:color w:val="auto"/>
          <w:sz w:val="24"/>
          <w:highlight w:val="none"/>
        </w:rPr>
        <w:t>3</w:t>
      </w:r>
      <w:r>
        <w:rPr>
          <w:rFonts w:ascii="宋体" w:hAnsi="宋体" w:cs="Arial"/>
          <w:color w:val="auto"/>
          <w:sz w:val="24"/>
          <w:highlight w:val="none"/>
        </w:rPr>
        <w:t xml:space="preserve"> </w:t>
      </w:r>
      <w:r>
        <w:rPr>
          <w:rFonts w:hint="eastAsia" w:ascii="宋体" w:hAnsi="宋体" w:cs="Arial"/>
          <w:color w:val="auto"/>
          <w:sz w:val="24"/>
          <w:highlight w:val="none"/>
        </w:rPr>
        <w:t>应答人被通知中选后，拒绝签订合同（即不按中选时规定的技术方案、供货范围和价格等签订合同）。</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13.2</w:t>
      </w:r>
      <w:r>
        <w:rPr>
          <w:rFonts w:ascii="宋体" w:hAnsi="宋体" w:cs="Arial"/>
          <w:color w:val="auto"/>
          <w:sz w:val="24"/>
          <w:highlight w:val="none"/>
        </w:rPr>
        <w:t>.</w:t>
      </w:r>
      <w:r>
        <w:rPr>
          <w:rFonts w:hint="eastAsia" w:ascii="宋体" w:hAnsi="宋体" w:cs="Arial"/>
          <w:color w:val="auto"/>
          <w:sz w:val="24"/>
          <w:highlight w:val="none"/>
        </w:rPr>
        <w:t>4 应答人不接受采购文件第一卷第</w:t>
      </w:r>
      <w:r>
        <w:rPr>
          <w:rFonts w:hint="eastAsia" w:ascii="宋体" w:hAnsi="宋体" w:cs="Arial"/>
          <w:color w:val="auto"/>
          <w:sz w:val="24"/>
          <w:highlight w:val="none"/>
          <w:lang w:val="en-US" w:eastAsia="zh-CN"/>
        </w:rPr>
        <w:t>9</w:t>
      </w:r>
      <w:r>
        <w:rPr>
          <w:rFonts w:hint="eastAsia" w:ascii="宋体" w:hAnsi="宋体" w:cs="Arial"/>
          <w:color w:val="auto"/>
          <w:sz w:val="24"/>
          <w:highlight w:val="none"/>
        </w:rPr>
        <w:t>条款的规定。</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13.3应答保证金退还</w:t>
      </w:r>
    </w:p>
    <w:p>
      <w:pPr>
        <w:adjustRightInd w:val="0"/>
        <w:snapToGrid w:val="0"/>
        <w:spacing w:line="360" w:lineRule="auto"/>
        <w:ind w:left="105" w:leftChars="50" w:right="105" w:rightChars="50" w:firstLine="480" w:firstLineChars="200"/>
        <w:rPr>
          <w:rFonts w:ascii="宋体" w:hAnsi="宋体" w:cs="Arial"/>
          <w:color w:val="auto"/>
          <w:sz w:val="24"/>
          <w:highlight w:val="none"/>
        </w:rPr>
      </w:pPr>
      <w:r>
        <w:rPr>
          <w:rFonts w:hint="eastAsia" w:ascii="宋体" w:hAnsi="宋体" w:cs="Arial"/>
          <w:color w:val="auto"/>
          <w:sz w:val="24"/>
          <w:highlight w:val="none"/>
        </w:rPr>
        <w:t>13.3.1未中选单位应答保证金退还流程：原则上在结果公告后</w:t>
      </w:r>
      <w:r>
        <w:rPr>
          <w:rFonts w:hint="eastAsia" w:ascii="宋体" w:hAnsi="宋体" w:cs="Arial"/>
          <w:color w:val="auto"/>
          <w:sz w:val="24"/>
          <w:highlight w:val="none"/>
          <w:lang w:val="en-US" w:eastAsia="zh-CN"/>
        </w:rPr>
        <w:t>7个</w:t>
      </w:r>
      <w:r>
        <w:rPr>
          <w:rFonts w:hint="eastAsia" w:ascii="宋体" w:hAnsi="宋体" w:cs="Arial"/>
          <w:color w:val="auto"/>
          <w:sz w:val="24"/>
          <w:highlight w:val="none"/>
        </w:rPr>
        <w:t>工作日内自动退回原账户；</w:t>
      </w:r>
    </w:p>
    <w:p>
      <w:pPr>
        <w:adjustRightInd w:val="0"/>
        <w:snapToGrid w:val="0"/>
        <w:spacing w:line="360" w:lineRule="auto"/>
        <w:ind w:left="105" w:leftChars="50" w:right="105" w:rightChars="50" w:firstLine="480" w:firstLineChars="200"/>
        <w:rPr>
          <w:rFonts w:ascii="宋体" w:hAnsi="宋体" w:cs="Arial"/>
          <w:color w:val="FF0000"/>
          <w:sz w:val="24"/>
          <w:highlight w:val="none"/>
        </w:rPr>
      </w:pPr>
      <w:r>
        <w:rPr>
          <w:rFonts w:hint="eastAsia" w:ascii="宋体" w:hAnsi="宋体" w:cs="Arial"/>
          <w:color w:val="FF0000"/>
          <w:sz w:val="24"/>
          <w:highlight w:val="none"/>
        </w:rPr>
        <w:t>13.3.2中选单位应答保证金退还流程：中选单位在合同签订后，请将①开票信息（备注需要专票或普通）、②发票邮寄地址联系人及联系方式、③项目名称及合同金额等信息发送至。</w:t>
      </w:r>
    </w:p>
    <w:p>
      <w:pPr>
        <w:adjustRightInd w:val="0"/>
        <w:snapToGrid w:val="0"/>
        <w:spacing w:line="360" w:lineRule="auto"/>
        <w:ind w:left="105" w:leftChars="50" w:right="105" w:rightChars="50" w:firstLine="480" w:firstLineChars="200"/>
        <w:rPr>
          <w:rFonts w:ascii="宋体" w:hAnsi="宋体" w:cs="Arial"/>
          <w:color w:val="000000"/>
          <w:sz w:val="24"/>
          <w:highlight w:val="none"/>
        </w:rPr>
      </w:pPr>
    </w:p>
    <w:p>
      <w:pPr>
        <w:pStyle w:val="5"/>
        <w:adjustRightInd w:val="0"/>
        <w:snapToGrid w:val="0"/>
        <w:spacing w:before="0" w:after="0" w:line="360" w:lineRule="auto"/>
        <w:ind w:left="105" w:leftChars="50" w:right="105" w:rightChars="50"/>
        <w:jc w:val="center"/>
        <w:rPr>
          <w:rFonts w:ascii="宋体" w:hAnsi="宋体" w:eastAsia="宋体" w:cs="Arial"/>
          <w:color w:val="000000"/>
          <w:szCs w:val="32"/>
          <w:highlight w:val="none"/>
        </w:rPr>
      </w:pPr>
      <w:bookmarkStart w:id="38" w:name="_Toc316307097"/>
      <w:bookmarkStart w:id="39" w:name="_Toc529881145"/>
      <w:bookmarkStart w:id="40" w:name="_Toc104191900"/>
      <w:bookmarkStart w:id="41" w:name="_Toc66761247"/>
      <w:bookmarkStart w:id="42" w:name="_Toc27890376"/>
      <w:bookmarkStart w:id="43" w:name="_Toc223162286"/>
      <w:bookmarkStart w:id="44" w:name="_Toc7686436"/>
      <w:bookmarkStart w:id="45" w:name="_Toc67303282"/>
      <w:bookmarkStart w:id="46" w:name="_Hlt7078413"/>
      <w:r>
        <w:rPr>
          <w:rFonts w:hint="eastAsia" w:ascii="宋体" w:hAnsi="宋体" w:eastAsia="宋体" w:cs="Arial"/>
          <w:color w:val="000000"/>
          <w:szCs w:val="32"/>
          <w:highlight w:val="none"/>
          <w:lang w:val="en-US" w:eastAsia="zh-CN"/>
        </w:rPr>
        <w:t>12</w:t>
      </w:r>
      <w:r>
        <w:rPr>
          <w:rFonts w:hint="eastAsia" w:ascii="宋体" w:hAnsi="宋体" w:eastAsia="宋体" w:cs="Arial"/>
          <w:color w:val="000000"/>
          <w:szCs w:val="32"/>
          <w:highlight w:val="none"/>
        </w:rPr>
        <w:t xml:space="preserve"> 采购人接受和拒绝所有应答的权力</w:t>
      </w:r>
      <w:bookmarkEnd w:id="38"/>
      <w:bookmarkEnd w:id="39"/>
      <w:bookmarkEnd w:id="40"/>
      <w:bookmarkEnd w:id="41"/>
      <w:bookmarkEnd w:id="42"/>
      <w:bookmarkEnd w:id="43"/>
      <w:bookmarkEnd w:id="44"/>
      <w:bookmarkEnd w:id="45"/>
    </w:p>
    <w:p>
      <w:pPr>
        <w:adjustRightInd w:val="0"/>
        <w:snapToGrid w:val="0"/>
        <w:spacing w:line="360" w:lineRule="auto"/>
        <w:ind w:left="105" w:leftChars="50" w:right="105" w:rightChars="50" w:firstLine="480" w:firstLineChars="200"/>
        <w:rPr>
          <w:rFonts w:ascii="宋体" w:hAnsi="宋体" w:cs="Arial"/>
          <w:b/>
          <w:color w:val="000000"/>
          <w:sz w:val="32"/>
          <w:szCs w:val="32"/>
          <w:highlight w:val="none"/>
        </w:rPr>
      </w:pPr>
      <w:r>
        <w:rPr>
          <w:rFonts w:hint="eastAsia" w:ascii="宋体" w:hAnsi="宋体" w:cs="Arial"/>
          <w:color w:val="000000"/>
          <w:sz w:val="24"/>
          <w:highlight w:val="none"/>
        </w:rPr>
        <w:t>14</w:t>
      </w:r>
      <w:r>
        <w:rPr>
          <w:rFonts w:ascii="宋体" w:hAnsi="宋体" w:cs="Arial"/>
          <w:color w:val="000000"/>
          <w:sz w:val="24"/>
          <w:highlight w:val="none"/>
        </w:rPr>
        <w:t>.1</w:t>
      </w:r>
      <w:r>
        <w:rPr>
          <w:rFonts w:hint="eastAsia" w:ascii="宋体" w:hAnsi="宋体" w:cs="Arial"/>
          <w:color w:val="000000"/>
          <w:sz w:val="24"/>
          <w:highlight w:val="none"/>
        </w:rPr>
        <w:t>采购人保留在授予合同之前接受或拒绝任何应答、宣布采购程序无效或拒绝所有应答的权力，对受影响的应答人不承担任何责任，也无义务向受影响的应答人解释采取这一</w:t>
      </w:r>
      <w:bookmarkStart w:id="47" w:name="_Hlt7016733"/>
      <w:bookmarkEnd w:id="47"/>
      <w:r>
        <w:rPr>
          <w:rFonts w:hint="eastAsia" w:ascii="宋体" w:hAnsi="宋体" w:cs="Arial"/>
          <w:color w:val="000000"/>
          <w:sz w:val="24"/>
          <w:highlight w:val="none"/>
        </w:rPr>
        <w:t>行动的理由。</w:t>
      </w:r>
      <w:bookmarkEnd w:id="46"/>
    </w:p>
    <w:bookmarkEnd w:id="35"/>
    <w:bookmarkEnd w:id="36"/>
    <w:bookmarkEnd w:id="37"/>
    <w:p>
      <w:pPr>
        <w:adjustRightInd w:val="0"/>
        <w:snapToGrid w:val="0"/>
        <w:spacing w:line="360" w:lineRule="auto"/>
        <w:ind w:left="105" w:leftChars="50" w:right="105" w:rightChars="50" w:firstLine="157" w:firstLineChars="49"/>
        <w:jc w:val="center"/>
        <w:rPr>
          <w:rFonts w:ascii="宋体" w:hAnsi="宋体" w:cs="Arial"/>
          <w:b/>
          <w:color w:val="000000"/>
          <w:sz w:val="32"/>
          <w:szCs w:val="32"/>
          <w:highlight w:val="yellow"/>
        </w:rPr>
      </w:pPr>
      <w:bookmarkStart w:id="48" w:name="_Hlt492704715"/>
      <w:bookmarkStart w:id="49" w:name="_Toc519891657"/>
      <w:bookmarkStart w:id="50" w:name="_Toc223162307"/>
      <w:bookmarkStart w:id="51" w:name="_Toc115689654"/>
      <w:bookmarkStart w:id="52" w:name="_Toc246392015"/>
      <w:bookmarkStart w:id="53" w:name="_Toc492803622"/>
      <w:bookmarkStart w:id="54" w:name="_Toc501817559"/>
      <w:bookmarkStart w:id="55" w:name="_Toc373937892"/>
      <w:bookmarkStart w:id="56" w:name="_Toc513014498"/>
      <w:bookmarkStart w:id="57" w:name="_Toc280881213"/>
    </w:p>
    <w:p>
      <w:pPr>
        <w:adjustRightInd w:val="0"/>
        <w:snapToGrid w:val="0"/>
        <w:spacing w:line="360" w:lineRule="auto"/>
        <w:ind w:left="105" w:leftChars="50" w:right="105" w:rightChars="50" w:firstLine="157" w:firstLineChars="49"/>
        <w:jc w:val="center"/>
        <w:rPr>
          <w:rFonts w:ascii="宋体" w:hAnsi="宋体" w:cs="Arial"/>
          <w:b/>
          <w:sz w:val="32"/>
          <w:szCs w:val="32"/>
          <w:highlight w:val="none"/>
        </w:rPr>
      </w:pPr>
      <w:r>
        <w:rPr>
          <w:rFonts w:ascii="宋体" w:hAnsi="宋体" w:cs="Arial"/>
          <w:b/>
          <w:color w:val="000000"/>
          <w:sz w:val="32"/>
          <w:szCs w:val="32"/>
          <w:highlight w:val="yellow"/>
        </w:rPr>
        <w:br w:type="page"/>
      </w:r>
      <w:bookmarkEnd w:id="48"/>
      <w:bookmarkEnd w:id="49"/>
      <w:bookmarkEnd w:id="50"/>
      <w:bookmarkEnd w:id="51"/>
      <w:bookmarkEnd w:id="52"/>
      <w:bookmarkEnd w:id="53"/>
      <w:bookmarkEnd w:id="54"/>
      <w:bookmarkEnd w:id="55"/>
      <w:bookmarkEnd w:id="56"/>
      <w:bookmarkEnd w:id="57"/>
      <w:bookmarkStart w:id="58" w:name="_Toc12989"/>
      <w:bookmarkStart w:id="59" w:name="_Toc526774670"/>
      <w:bookmarkStart w:id="60" w:name="_Toc188695196"/>
      <w:bookmarkStart w:id="61" w:name="_Toc180147927"/>
      <w:r>
        <w:rPr>
          <w:rFonts w:hint="eastAsia" w:ascii="宋体" w:hAnsi="宋体" w:cs="Arial"/>
          <w:b/>
          <w:sz w:val="32"/>
          <w:szCs w:val="32"/>
          <w:highlight w:val="none"/>
        </w:rPr>
        <w:t xml:space="preserve">第三卷  </w:t>
      </w:r>
      <w:r>
        <w:rPr>
          <w:rFonts w:ascii="宋体" w:hAnsi="宋体" w:cs="Arial"/>
          <w:b/>
          <w:sz w:val="32"/>
          <w:szCs w:val="32"/>
          <w:highlight w:val="none"/>
        </w:rPr>
        <w:t>工程量清单</w:t>
      </w:r>
      <w:bookmarkEnd w:id="58"/>
      <w:bookmarkEnd w:id="59"/>
    </w:p>
    <w:p>
      <w:pPr>
        <w:pStyle w:val="5"/>
        <w:spacing w:before="120" w:after="120"/>
        <w:rPr>
          <w:rFonts w:ascii="宋体" w:hAnsi="宋体" w:eastAsia="宋体"/>
          <w:highlight w:val="none"/>
        </w:rPr>
      </w:pPr>
      <w:bookmarkStart w:id="62" w:name="_Toc19669"/>
      <w:bookmarkStart w:id="63" w:name="_Toc24750"/>
      <w:bookmarkStart w:id="64" w:name="_Toc488175087"/>
      <w:bookmarkStart w:id="65" w:name="_Toc526774671"/>
      <w:bookmarkStart w:id="66" w:name="_Toc269910295"/>
      <w:bookmarkStart w:id="67" w:name="_Toc325102486"/>
      <w:r>
        <w:rPr>
          <w:rFonts w:ascii="宋体" w:hAnsi="宋体" w:eastAsia="宋体"/>
          <w:highlight w:val="none"/>
        </w:rPr>
        <w:t>1.</w:t>
      </w:r>
      <w:r>
        <w:rPr>
          <w:rFonts w:hint="eastAsia" w:ascii="宋体" w:hAnsi="宋体" w:eastAsia="宋体"/>
          <w:highlight w:val="none"/>
        </w:rPr>
        <w:t xml:space="preserve"> </w:t>
      </w:r>
      <w:r>
        <w:rPr>
          <w:rFonts w:ascii="宋体" w:hAnsi="宋体" w:eastAsia="宋体"/>
          <w:highlight w:val="none"/>
        </w:rPr>
        <w:t>工程量清单说明</w:t>
      </w:r>
      <w:bookmarkEnd w:id="62"/>
      <w:bookmarkEnd w:id="63"/>
      <w:bookmarkEnd w:id="64"/>
      <w:bookmarkEnd w:id="65"/>
    </w:p>
    <w:p>
      <w:pPr>
        <w:pStyle w:val="7"/>
        <w:ind w:left="0" w:leftChars="0" w:firstLine="0" w:firstLineChars="0"/>
        <w:rPr>
          <w:highlight w:val="none"/>
        </w:rPr>
      </w:pPr>
      <w:bookmarkStart w:id="68" w:name="_Toc19270"/>
      <w:bookmarkStart w:id="69" w:name="_Toc488175088"/>
      <w:bookmarkStart w:id="70" w:name="_Toc32420"/>
      <w:bookmarkStart w:id="71" w:name="_Toc526774672"/>
      <w:r>
        <w:rPr>
          <w:highlight w:val="none"/>
        </w:rPr>
        <w:t>1.1 总说明</w:t>
      </w:r>
      <w:bookmarkEnd w:id="68"/>
      <w:bookmarkEnd w:id="69"/>
      <w:bookmarkEnd w:id="70"/>
      <w:bookmarkEnd w:id="71"/>
    </w:p>
    <w:p>
      <w:pPr>
        <w:ind w:firstLine="420"/>
        <w:rPr>
          <w:rFonts w:ascii="宋体" w:hAnsi="宋体"/>
          <w:highlight w:val="none"/>
        </w:rPr>
      </w:pPr>
      <w:r>
        <w:rPr>
          <w:rFonts w:ascii="宋体" w:hAnsi="宋体"/>
          <w:szCs w:val="21"/>
          <w:highlight w:val="none"/>
        </w:rPr>
        <w:t>本工程量清单是招标文件的组成部分，应与招标文件中的投标人须知、通用合同条款、专用合同条款、技术标准和要求及图纸等一起阅读和理解。</w:t>
      </w:r>
    </w:p>
    <w:p>
      <w:pPr>
        <w:pStyle w:val="7"/>
        <w:rPr>
          <w:highlight w:val="none"/>
        </w:rPr>
      </w:pPr>
      <w:bookmarkStart w:id="72" w:name="_Toc526774673"/>
      <w:bookmarkStart w:id="73" w:name="_Toc488175089"/>
      <w:bookmarkStart w:id="74" w:name="_Toc19577"/>
      <w:bookmarkStart w:id="75" w:name="_Toc26209"/>
      <w:r>
        <w:rPr>
          <w:highlight w:val="none"/>
        </w:rPr>
        <w:t>1.2 工程量清单构成</w:t>
      </w:r>
      <w:bookmarkEnd w:id="72"/>
      <w:bookmarkEnd w:id="73"/>
      <w:bookmarkEnd w:id="74"/>
      <w:bookmarkEnd w:id="75"/>
    </w:p>
    <w:p>
      <w:pPr>
        <w:ind w:firstLine="420" w:firstLineChars="200"/>
        <w:rPr>
          <w:rFonts w:ascii="宋体" w:hAnsi="宋体"/>
          <w:szCs w:val="21"/>
          <w:highlight w:val="none"/>
        </w:rPr>
      </w:pPr>
      <w:r>
        <w:rPr>
          <w:rFonts w:ascii="宋体" w:hAnsi="宋体"/>
          <w:szCs w:val="21"/>
          <w:highlight w:val="none"/>
        </w:rPr>
        <w:t>本工程量清单由工程量清单说明、分部分项工程量清单、其他项目清单、材料暂估单价表、专业工程暂估价表、暂列金额明细表、计日工表、招标人采购材料表和综合单价分析表等组成。</w:t>
      </w:r>
    </w:p>
    <w:p>
      <w:pPr>
        <w:pStyle w:val="7"/>
        <w:rPr>
          <w:highlight w:val="none"/>
        </w:rPr>
      </w:pPr>
      <w:bookmarkStart w:id="76" w:name="_Toc526774674"/>
      <w:bookmarkStart w:id="77" w:name="_Toc27455"/>
      <w:r>
        <w:rPr>
          <w:highlight w:val="none"/>
        </w:rPr>
        <w:t>1.3 工程量清单项目划分</w:t>
      </w:r>
      <w:bookmarkEnd w:id="76"/>
      <w:bookmarkEnd w:id="77"/>
    </w:p>
    <w:p>
      <w:pPr>
        <w:ind w:firstLine="420"/>
        <w:rPr>
          <w:rFonts w:ascii="宋体" w:hAnsi="宋体"/>
          <w:highlight w:val="none"/>
        </w:rPr>
      </w:pPr>
      <w:r>
        <w:rPr>
          <w:rFonts w:ascii="宋体" w:hAnsi="宋体"/>
          <w:szCs w:val="21"/>
          <w:highlight w:val="none"/>
        </w:rPr>
        <w:t>本工程量清单项目划分依据：</w:t>
      </w:r>
      <w:bookmarkStart w:id="78" w:name="_Toc32569"/>
      <w:bookmarkStart w:id="79" w:name="_Toc488175090"/>
      <w:r>
        <w:rPr>
          <w:rFonts w:ascii="宋体" w:hAnsi="宋体"/>
          <w:highlight w:val="none"/>
        </w:rPr>
        <w:t>《电网工程建设预算编制与计算标准》（2013年版）</w:t>
      </w:r>
    </w:p>
    <w:p>
      <w:pPr>
        <w:pStyle w:val="7"/>
        <w:rPr>
          <w:highlight w:val="none"/>
        </w:rPr>
      </w:pPr>
      <w:bookmarkStart w:id="80" w:name="_Toc8190"/>
      <w:bookmarkStart w:id="81" w:name="_Toc526774675"/>
      <w:r>
        <w:rPr>
          <w:highlight w:val="none"/>
        </w:rPr>
        <w:t>1.4</w:t>
      </w:r>
      <w:r>
        <w:rPr>
          <w:rFonts w:hint="eastAsia"/>
          <w:highlight w:val="none"/>
        </w:rPr>
        <w:t xml:space="preserve"> </w:t>
      </w:r>
      <w:r>
        <w:rPr>
          <w:highlight w:val="none"/>
        </w:rPr>
        <w:t>工程量清单编制</w:t>
      </w:r>
      <w:bookmarkEnd w:id="78"/>
      <w:bookmarkEnd w:id="79"/>
      <w:r>
        <w:rPr>
          <w:highlight w:val="none"/>
        </w:rPr>
        <w:t>依据</w:t>
      </w:r>
      <w:bookmarkEnd w:id="80"/>
      <w:bookmarkEnd w:id="81"/>
    </w:p>
    <w:p>
      <w:pPr>
        <w:ind w:firstLine="420"/>
        <w:rPr>
          <w:rFonts w:ascii="宋体" w:hAnsi="宋体"/>
          <w:highlight w:val="none"/>
        </w:rPr>
      </w:pPr>
      <w:r>
        <w:rPr>
          <w:rFonts w:ascii="宋体" w:hAnsi="宋体"/>
          <w:highlight w:val="none"/>
        </w:rPr>
        <w:t>1.4.1</w:t>
      </w:r>
      <w:r>
        <w:rPr>
          <w:rFonts w:hint="eastAsia" w:ascii="宋体" w:hAnsi="宋体"/>
          <w:highlight w:val="none"/>
        </w:rPr>
        <w:t xml:space="preserve"> </w:t>
      </w:r>
      <w:r>
        <w:rPr>
          <w:rFonts w:ascii="宋体" w:hAnsi="宋体"/>
          <w:highlight w:val="none"/>
        </w:rPr>
        <w:t>升压站建筑安装工程依据《电力建设工程工程量清单计价规范》(DL/T 5745-2016)、《电力建设工程工程量清单计算规范变电工程》(DL/T 5341-2016) 编制；</w:t>
      </w:r>
    </w:p>
    <w:p>
      <w:pPr>
        <w:ind w:firstLine="420"/>
        <w:rPr>
          <w:rFonts w:ascii="宋体" w:hAnsi="宋体"/>
          <w:highlight w:val="none"/>
        </w:rPr>
      </w:pPr>
      <w:r>
        <w:rPr>
          <w:rFonts w:ascii="宋体" w:hAnsi="宋体"/>
          <w:highlight w:val="none"/>
        </w:rPr>
        <w:t>1.4.2</w:t>
      </w:r>
      <w:r>
        <w:rPr>
          <w:rFonts w:hint="eastAsia" w:ascii="宋体" w:hAnsi="宋体"/>
          <w:highlight w:val="none"/>
        </w:rPr>
        <w:t xml:space="preserve"> </w:t>
      </w:r>
      <w:r>
        <w:rPr>
          <w:rFonts w:ascii="宋体" w:hAnsi="宋体"/>
          <w:highlight w:val="none"/>
        </w:rPr>
        <w:t>对于清单中未包括的清单项目，招标人根据有关规定进行补充，补充原则为其工程量按照上述规定计算，计量采用中华人民共和国法定计量单位。</w:t>
      </w:r>
    </w:p>
    <w:p>
      <w:pPr>
        <w:pStyle w:val="7"/>
        <w:rPr>
          <w:highlight w:val="none"/>
        </w:rPr>
      </w:pPr>
      <w:bookmarkStart w:id="82" w:name="_Toc526774676"/>
      <w:bookmarkStart w:id="83" w:name="_Toc17845"/>
      <w:bookmarkStart w:id="84" w:name="_Toc488175091"/>
      <w:bookmarkStart w:id="85" w:name="_Toc9731"/>
      <w:r>
        <w:rPr>
          <w:highlight w:val="none"/>
        </w:rPr>
        <w:t>1.5</w:t>
      </w:r>
      <w:r>
        <w:rPr>
          <w:rFonts w:hint="eastAsia"/>
          <w:highlight w:val="none"/>
        </w:rPr>
        <w:t xml:space="preserve"> </w:t>
      </w:r>
      <w:r>
        <w:rPr>
          <w:highlight w:val="none"/>
        </w:rPr>
        <w:t>结算工程量</w:t>
      </w:r>
      <w:bookmarkEnd w:id="82"/>
      <w:bookmarkEnd w:id="83"/>
      <w:bookmarkEnd w:id="84"/>
      <w:bookmarkEnd w:id="85"/>
    </w:p>
    <w:p>
      <w:pPr>
        <w:ind w:firstLine="420"/>
        <w:rPr>
          <w:rFonts w:ascii="宋体" w:hAnsi="宋体"/>
          <w:highlight w:val="none"/>
        </w:rPr>
      </w:pPr>
      <w:r>
        <w:rPr>
          <w:rFonts w:ascii="宋体" w:hAnsi="宋体"/>
          <w:highlight w:val="none"/>
        </w:rPr>
        <w:t>1.5.1</w:t>
      </w:r>
      <w:r>
        <w:rPr>
          <w:rFonts w:hint="eastAsia" w:ascii="宋体" w:hAnsi="宋体"/>
          <w:highlight w:val="none"/>
        </w:rPr>
        <w:t>工程量清单的工程量仅是投标报价的共同基础，不作为最终结算的工程量，最终竣工结算的工程量计算原则依据招标工程量清单计算规则计算。清单计算规则不明确的按照以下规则执行；</w:t>
      </w:r>
    </w:p>
    <w:p>
      <w:pPr>
        <w:ind w:firstLine="420"/>
        <w:rPr>
          <w:rFonts w:ascii="宋体" w:hAnsi="宋体"/>
          <w:highlight w:val="none"/>
        </w:rPr>
      </w:pPr>
      <w:r>
        <w:rPr>
          <w:rFonts w:ascii="宋体" w:hAnsi="宋体"/>
          <w:highlight w:val="none"/>
        </w:rPr>
        <w:t>1.5.2</w:t>
      </w:r>
      <w:r>
        <w:rPr>
          <w:rFonts w:hint="eastAsia" w:ascii="宋体" w:hAnsi="宋体"/>
          <w:highlight w:val="none"/>
        </w:rPr>
        <w:t xml:space="preserve"> </w:t>
      </w:r>
      <w:r>
        <w:rPr>
          <w:rFonts w:ascii="宋体" w:hAnsi="宋体"/>
          <w:highlight w:val="none"/>
        </w:rPr>
        <w:t>无法依据上述定额、规范编制的清单项目，由招标人根据有关规定进行补充，补充原则为其工程量按照有合同约束力的图纸所标识尺寸的理论净量（含搭接量）计算，计量采用中华人民共和国法定计量单位。</w:t>
      </w:r>
    </w:p>
    <w:bookmarkEnd w:id="66"/>
    <w:bookmarkEnd w:id="67"/>
    <w:p>
      <w:pPr>
        <w:ind w:firstLine="420"/>
        <w:rPr>
          <w:rFonts w:ascii="宋体" w:hAnsi="宋体"/>
          <w:highlight w:val="none"/>
        </w:rPr>
      </w:pPr>
      <w:bookmarkStart w:id="86" w:name="_Toc325102492"/>
      <w:bookmarkStart w:id="87" w:name="_Toc263798805"/>
      <w:bookmarkStart w:id="88" w:name="_Toc488175093"/>
      <w:bookmarkStart w:id="89" w:name="_Toc257927350"/>
      <w:r>
        <w:rPr>
          <w:rFonts w:ascii="宋体" w:hAnsi="宋体"/>
          <w:highlight w:val="none"/>
        </w:rPr>
        <w:br w:type="page"/>
      </w:r>
    </w:p>
    <w:bookmarkEnd w:id="86"/>
    <w:bookmarkEnd w:id="87"/>
    <w:bookmarkEnd w:id="88"/>
    <w:p>
      <w:pPr>
        <w:pStyle w:val="7"/>
        <w:rPr>
          <w:highlight w:val="none"/>
        </w:rPr>
      </w:pPr>
      <w:bookmarkStart w:id="90" w:name="_Toc525585166"/>
      <w:bookmarkStart w:id="91" w:name="_Toc24794"/>
      <w:bookmarkStart w:id="92" w:name="_Toc263798806"/>
      <w:bookmarkStart w:id="93" w:name="_Toc526774677"/>
      <w:r>
        <w:rPr>
          <w:highlight w:val="none"/>
        </w:rPr>
        <w:t>1.6</w:t>
      </w:r>
      <w:r>
        <w:rPr>
          <w:rFonts w:hint="eastAsia"/>
          <w:highlight w:val="none"/>
        </w:rPr>
        <w:t xml:space="preserve"> </w:t>
      </w:r>
      <w:r>
        <w:rPr>
          <w:highlight w:val="none"/>
        </w:rPr>
        <w:t>分部分项工程量清单格式（详见本章附件1：工程量清单）</w:t>
      </w:r>
      <w:bookmarkEnd w:id="90"/>
      <w:bookmarkEnd w:id="91"/>
      <w:bookmarkEnd w:id="92"/>
      <w:bookmarkEnd w:id="93"/>
      <w:bookmarkStart w:id="94" w:name="_Toc325102493"/>
      <w:bookmarkStart w:id="95" w:name="_Toc488175094"/>
      <w:bookmarkStart w:id="96" w:name="_Toc525585167"/>
      <w:bookmarkStart w:id="97" w:name="_Toc526774678"/>
      <w:bookmarkStart w:id="98" w:name="_Toc263798807"/>
      <w:bookmarkStart w:id="99" w:name="_Toc23694"/>
    </w:p>
    <w:p>
      <w:pPr>
        <w:pStyle w:val="7"/>
        <w:rPr>
          <w:bCs w:val="0"/>
          <w:color w:val="000000"/>
          <w:highlight w:val="none"/>
        </w:rPr>
      </w:pPr>
      <w:r>
        <w:rPr>
          <w:highlight w:val="none"/>
        </w:rPr>
        <w:t>1.7</w:t>
      </w:r>
      <w:r>
        <w:rPr>
          <w:rFonts w:hint="eastAsia"/>
          <w:highlight w:val="none"/>
        </w:rPr>
        <w:t xml:space="preserve"> </w:t>
      </w:r>
      <w:r>
        <w:rPr>
          <w:highlight w:val="none"/>
        </w:rPr>
        <w:t>其他项目清单</w:t>
      </w:r>
      <w:bookmarkEnd w:id="94"/>
      <w:bookmarkEnd w:id="95"/>
      <w:r>
        <w:rPr>
          <w:highlight w:val="none"/>
        </w:rPr>
        <w:t>格式（具体内容详见本章附件1：工程量清单）</w:t>
      </w:r>
      <w:bookmarkEnd w:id="89"/>
      <w:bookmarkEnd w:id="96"/>
      <w:bookmarkEnd w:id="97"/>
      <w:bookmarkEnd w:id="98"/>
      <w:bookmarkEnd w:id="99"/>
      <w:bookmarkStart w:id="100" w:name="_Toc416452682"/>
      <w:bookmarkStart w:id="101" w:name="_Toc488175095"/>
      <w:bookmarkStart w:id="102" w:name="_Toc325102495"/>
      <w:bookmarkStart w:id="103" w:name="_Toc257927351"/>
    </w:p>
    <w:p>
      <w:pPr>
        <w:pStyle w:val="7"/>
        <w:rPr>
          <w:highlight w:val="none"/>
        </w:rPr>
      </w:pPr>
      <w:bookmarkStart w:id="104" w:name="_Toc526774679"/>
      <w:bookmarkStart w:id="105" w:name="_Toc27642"/>
      <w:r>
        <w:rPr>
          <w:highlight w:val="none"/>
        </w:rPr>
        <w:t>1.8</w:t>
      </w:r>
      <w:r>
        <w:rPr>
          <w:rFonts w:hint="eastAsia"/>
          <w:highlight w:val="none"/>
        </w:rPr>
        <w:t xml:space="preserve"> </w:t>
      </w:r>
      <w:r>
        <w:rPr>
          <w:highlight w:val="none"/>
        </w:rPr>
        <w:t>招标人采购设备、材料表</w:t>
      </w:r>
      <w:bookmarkEnd w:id="100"/>
      <w:bookmarkEnd w:id="101"/>
      <w:bookmarkEnd w:id="102"/>
      <w:bookmarkEnd w:id="104"/>
      <w:bookmarkEnd w:id="105"/>
    </w:p>
    <w:p>
      <w:pPr>
        <w:jc w:val="both"/>
        <w:rPr>
          <w:rFonts w:ascii="宋体" w:hAnsi="宋体"/>
          <w:szCs w:val="21"/>
          <w:highlight w:val="none"/>
        </w:rPr>
      </w:pPr>
      <w:r>
        <w:rPr>
          <w:rFonts w:hint="eastAsia" w:ascii="宋体" w:hAnsi="宋体"/>
          <w:b/>
          <w:bCs/>
          <w:sz w:val="18"/>
          <w:szCs w:val="18"/>
          <w:highlight w:val="none"/>
          <w:u w:val="single"/>
          <w:lang w:eastAsia="zh-CN"/>
        </w:rPr>
        <w:t>（严格按照附件一：施工配件的项目顺序）</w:t>
      </w:r>
      <w:r>
        <w:rPr>
          <w:rFonts w:hint="eastAsia" w:ascii="宋体" w:hAnsi="宋体"/>
          <w:sz w:val="28"/>
          <w:szCs w:val="28"/>
          <w:highlight w:val="none"/>
          <w:lang w:val="en-US" w:eastAsia="zh-CN"/>
        </w:rPr>
        <w:t xml:space="preserve">     </w:t>
      </w:r>
      <w:r>
        <w:rPr>
          <w:rFonts w:hint="eastAsia" w:ascii="宋体" w:hAnsi="宋体"/>
          <w:szCs w:val="21"/>
          <w:highlight w:val="none"/>
          <w:lang w:val="en-US" w:eastAsia="zh-CN"/>
        </w:rPr>
        <w:t xml:space="preserve">   </w:t>
      </w:r>
      <w:r>
        <w:rPr>
          <w:rFonts w:ascii="宋体" w:hAnsi="宋体"/>
          <w:szCs w:val="21"/>
          <w:highlight w:val="none"/>
        </w:rPr>
        <w:t>招标人采购材料</w:t>
      </w:r>
      <w:r>
        <w:rPr>
          <w:rFonts w:hint="eastAsia" w:ascii="宋体" w:hAnsi="宋体"/>
          <w:szCs w:val="21"/>
          <w:highlight w:val="none"/>
          <w:lang w:eastAsia="zh-CN"/>
        </w:rPr>
        <w:t>、项目、价格</w:t>
      </w:r>
      <w:r>
        <w:rPr>
          <w:rFonts w:ascii="宋体" w:hAnsi="宋体"/>
          <w:szCs w:val="21"/>
          <w:highlight w:val="none"/>
        </w:rPr>
        <w:t>表</w:t>
      </w:r>
    </w:p>
    <w:tbl>
      <w:tblPr>
        <w:tblStyle w:val="5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23"/>
        <w:gridCol w:w="1219"/>
        <w:gridCol w:w="1219"/>
        <w:gridCol w:w="751"/>
        <w:gridCol w:w="751"/>
        <w:gridCol w:w="192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bCs/>
                <w:sz w:val="18"/>
                <w:szCs w:val="18"/>
                <w:highlight w:val="none"/>
              </w:rPr>
            </w:pPr>
            <w:r>
              <w:rPr>
                <w:rFonts w:ascii="宋体" w:hAnsi="宋体"/>
                <w:b/>
                <w:bCs/>
                <w:sz w:val="18"/>
                <w:szCs w:val="18"/>
                <w:highlight w:val="none"/>
              </w:rPr>
              <w:t>序号</w:t>
            </w:r>
          </w:p>
        </w:tc>
        <w:tc>
          <w:tcPr>
            <w:tcW w:w="1923" w:type="dxa"/>
            <w:vAlign w:val="center"/>
          </w:tcPr>
          <w:p>
            <w:pPr>
              <w:jc w:val="center"/>
              <w:rPr>
                <w:rFonts w:ascii="宋体" w:hAnsi="宋体"/>
                <w:b/>
                <w:bCs/>
                <w:sz w:val="18"/>
                <w:szCs w:val="18"/>
                <w:highlight w:val="none"/>
              </w:rPr>
            </w:pPr>
            <w:r>
              <w:rPr>
                <w:rFonts w:ascii="宋体" w:hAnsi="宋体"/>
                <w:b/>
                <w:bCs/>
                <w:sz w:val="18"/>
                <w:szCs w:val="18"/>
                <w:highlight w:val="none"/>
              </w:rPr>
              <w:t>项目或材料名称</w:t>
            </w:r>
          </w:p>
        </w:tc>
        <w:tc>
          <w:tcPr>
            <w:tcW w:w="1219" w:type="dxa"/>
            <w:vAlign w:val="center"/>
          </w:tcPr>
          <w:p>
            <w:pPr>
              <w:jc w:val="center"/>
              <w:rPr>
                <w:rFonts w:ascii="宋体" w:hAnsi="宋体"/>
                <w:b/>
                <w:bCs/>
                <w:sz w:val="18"/>
                <w:szCs w:val="18"/>
                <w:highlight w:val="none"/>
              </w:rPr>
            </w:pPr>
            <w:r>
              <w:rPr>
                <w:rFonts w:ascii="宋体" w:hAnsi="宋体"/>
                <w:b/>
                <w:bCs/>
                <w:sz w:val="18"/>
                <w:szCs w:val="18"/>
                <w:highlight w:val="none"/>
              </w:rPr>
              <w:t>型号规格</w:t>
            </w:r>
          </w:p>
        </w:tc>
        <w:tc>
          <w:tcPr>
            <w:tcW w:w="1219" w:type="dxa"/>
            <w:vAlign w:val="center"/>
          </w:tcPr>
          <w:p>
            <w:pPr>
              <w:jc w:val="center"/>
              <w:rPr>
                <w:rFonts w:ascii="宋体" w:hAnsi="宋体"/>
                <w:b/>
                <w:bCs/>
                <w:sz w:val="18"/>
                <w:szCs w:val="18"/>
                <w:highlight w:val="none"/>
              </w:rPr>
            </w:pPr>
            <w:r>
              <w:rPr>
                <w:rFonts w:ascii="宋体" w:hAnsi="宋体"/>
                <w:b/>
                <w:bCs/>
                <w:sz w:val="18"/>
                <w:szCs w:val="18"/>
                <w:highlight w:val="none"/>
              </w:rPr>
              <w:t>计量单位</w:t>
            </w:r>
          </w:p>
        </w:tc>
        <w:tc>
          <w:tcPr>
            <w:tcW w:w="751" w:type="dxa"/>
            <w:vAlign w:val="center"/>
          </w:tcPr>
          <w:p>
            <w:pPr>
              <w:jc w:val="center"/>
              <w:rPr>
                <w:rFonts w:ascii="宋体" w:hAnsi="宋体"/>
                <w:b/>
                <w:bCs/>
                <w:sz w:val="18"/>
                <w:szCs w:val="18"/>
                <w:highlight w:val="none"/>
              </w:rPr>
            </w:pPr>
            <w:r>
              <w:rPr>
                <w:rFonts w:ascii="宋体" w:hAnsi="宋体"/>
                <w:b/>
                <w:bCs/>
                <w:sz w:val="18"/>
                <w:szCs w:val="18"/>
                <w:highlight w:val="none"/>
              </w:rPr>
              <w:t>数量</w:t>
            </w:r>
          </w:p>
        </w:tc>
        <w:tc>
          <w:tcPr>
            <w:tcW w:w="751" w:type="dxa"/>
            <w:vAlign w:val="center"/>
          </w:tcPr>
          <w:p>
            <w:pPr>
              <w:jc w:val="center"/>
              <w:rPr>
                <w:rFonts w:ascii="宋体" w:hAnsi="宋体"/>
                <w:b/>
                <w:bCs/>
                <w:sz w:val="18"/>
                <w:szCs w:val="18"/>
                <w:highlight w:val="none"/>
              </w:rPr>
            </w:pPr>
            <w:r>
              <w:rPr>
                <w:rFonts w:ascii="宋体" w:hAnsi="宋体"/>
                <w:b/>
                <w:bCs/>
                <w:sz w:val="18"/>
                <w:szCs w:val="18"/>
                <w:highlight w:val="none"/>
              </w:rPr>
              <w:t>单价</w:t>
            </w:r>
          </w:p>
        </w:tc>
        <w:tc>
          <w:tcPr>
            <w:tcW w:w="1923" w:type="dxa"/>
            <w:vAlign w:val="center"/>
          </w:tcPr>
          <w:p>
            <w:pPr>
              <w:jc w:val="center"/>
              <w:rPr>
                <w:rFonts w:ascii="宋体" w:hAnsi="宋体"/>
                <w:b/>
                <w:bCs/>
                <w:sz w:val="18"/>
                <w:szCs w:val="18"/>
                <w:highlight w:val="none"/>
              </w:rPr>
            </w:pPr>
            <w:r>
              <w:rPr>
                <w:rFonts w:ascii="宋体" w:hAnsi="宋体"/>
                <w:b/>
                <w:bCs/>
                <w:sz w:val="18"/>
                <w:szCs w:val="18"/>
                <w:highlight w:val="none"/>
              </w:rPr>
              <w:t>交货地点及方式</w:t>
            </w:r>
          </w:p>
        </w:tc>
        <w:tc>
          <w:tcPr>
            <w:tcW w:w="750" w:type="dxa"/>
            <w:vAlign w:val="center"/>
          </w:tcPr>
          <w:p>
            <w:pPr>
              <w:jc w:val="center"/>
              <w:rPr>
                <w:rFonts w:ascii="宋体" w:hAnsi="宋体"/>
                <w:b/>
                <w:bCs/>
                <w:sz w:val="18"/>
                <w:szCs w:val="18"/>
                <w:highlight w:val="none"/>
              </w:rPr>
            </w:pPr>
            <w:r>
              <w:rPr>
                <w:rFonts w:ascii="宋体" w:hAnsi="宋体"/>
                <w:b/>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none"/>
              </w:rPr>
            </w:pPr>
          </w:p>
        </w:tc>
        <w:tc>
          <w:tcPr>
            <w:tcW w:w="1923" w:type="dxa"/>
            <w:vAlign w:val="center"/>
          </w:tcPr>
          <w:p>
            <w:pPr>
              <w:jc w:val="center"/>
              <w:rPr>
                <w:rFonts w:ascii="宋体" w:hAnsi="宋体"/>
                <w:b/>
                <w:sz w:val="28"/>
                <w:szCs w:val="28"/>
                <w:highlight w:val="none"/>
              </w:rPr>
            </w:pPr>
          </w:p>
        </w:tc>
        <w:tc>
          <w:tcPr>
            <w:tcW w:w="1219" w:type="dxa"/>
            <w:vAlign w:val="center"/>
          </w:tcPr>
          <w:p>
            <w:pPr>
              <w:jc w:val="center"/>
              <w:rPr>
                <w:rFonts w:ascii="宋体" w:hAnsi="宋体"/>
                <w:b/>
                <w:sz w:val="28"/>
                <w:szCs w:val="28"/>
                <w:highlight w:val="none"/>
              </w:rPr>
            </w:pPr>
          </w:p>
        </w:tc>
        <w:tc>
          <w:tcPr>
            <w:tcW w:w="1219" w:type="dxa"/>
            <w:vAlign w:val="center"/>
          </w:tcPr>
          <w:p>
            <w:pPr>
              <w:jc w:val="center"/>
              <w:rPr>
                <w:rFonts w:ascii="宋体" w:hAnsi="宋体"/>
                <w:b/>
                <w:sz w:val="28"/>
                <w:szCs w:val="28"/>
                <w:highlight w:val="none"/>
              </w:rPr>
            </w:pPr>
          </w:p>
        </w:tc>
        <w:tc>
          <w:tcPr>
            <w:tcW w:w="751" w:type="dxa"/>
            <w:vAlign w:val="center"/>
          </w:tcPr>
          <w:p>
            <w:pPr>
              <w:jc w:val="center"/>
              <w:rPr>
                <w:rFonts w:ascii="宋体" w:hAnsi="宋体"/>
                <w:b/>
                <w:sz w:val="28"/>
                <w:szCs w:val="28"/>
                <w:highlight w:val="none"/>
              </w:rPr>
            </w:pPr>
          </w:p>
        </w:tc>
        <w:tc>
          <w:tcPr>
            <w:tcW w:w="751" w:type="dxa"/>
            <w:vAlign w:val="center"/>
          </w:tcPr>
          <w:p>
            <w:pPr>
              <w:jc w:val="center"/>
              <w:rPr>
                <w:rFonts w:ascii="宋体" w:hAnsi="宋体"/>
                <w:b/>
                <w:sz w:val="28"/>
                <w:szCs w:val="28"/>
                <w:highlight w:val="none"/>
              </w:rPr>
            </w:pPr>
          </w:p>
        </w:tc>
        <w:tc>
          <w:tcPr>
            <w:tcW w:w="1923" w:type="dxa"/>
            <w:vAlign w:val="center"/>
          </w:tcPr>
          <w:p>
            <w:pPr>
              <w:jc w:val="center"/>
              <w:rPr>
                <w:rFonts w:ascii="宋体" w:hAnsi="宋体"/>
                <w:b/>
                <w:sz w:val="28"/>
                <w:szCs w:val="28"/>
                <w:highlight w:val="none"/>
              </w:rPr>
            </w:pPr>
          </w:p>
        </w:tc>
        <w:tc>
          <w:tcPr>
            <w:tcW w:w="750" w:type="dxa"/>
            <w:vAlign w:val="center"/>
          </w:tcPr>
          <w:p>
            <w:pPr>
              <w:jc w:val="center"/>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eastAsia="宋体" w:cs="Times New Roman"/>
                <w:b/>
                <w:color w:val="auto"/>
                <w:kern w:val="2"/>
                <w:sz w:val="28"/>
                <w:szCs w:val="28"/>
                <w:highlight w:val="none"/>
                <w:lang w:val="en-US" w:eastAsia="zh-CN" w:bidi="ar-SA"/>
              </w:rPr>
            </w:pPr>
            <w:r>
              <w:rPr>
                <w:rFonts w:hint="eastAsia" w:ascii="宋体" w:hAnsi="宋体" w:cs="Times New Roman"/>
                <w:b/>
                <w:color w:val="auto"/>
                <w:kern w:val="2"/>
                <w:sz w:val="21"/>
                <w:szCs w:val="21"/>
                <w:highlight w:val="none"/>
                <w:lang w:val="en-US" w:eastAsia="zh-CN" w:bidi="ar-SA"/>
              </w:rPr>
              <w:t>税率</w:t>
            </w: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hint="default" w:ascii="宋体" w:hAnsi="宋体" w:eastAsia="宋体" w:cs="Times New Roman"/>
                <w:b/>
                <w:color w:val="auto"/>
                <w:kern w:val="2"/>
                <w:sz w:val="18"/>
                <w:szCs w:val="18"/>
                <w:highlight w:val="none"/>
                <w:lang w:val="en-US" w:eastAsia="zh-CN" w:bidi="ar-SA"/>
              </w:rPr>
            </w:pPr>
            <w:r>
              <w:rPr>
                <w:rFonts w:hint="eastAsia" w:ascii="宋体" w:hAnsi="宋体"/>
                <w:b/>
                <w:color w:val="auto"/>
                <w:sz w:val="18"/>
                <w:szCs w:val="18"/>
                <w:highlight w:val="none"/>
                <w:lang w:val="en-US" w:eastAsia="zh-CN"/>
              </w:rPr>
              <w:t>1#主变就位费用</w:t>
            </w: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both"/>
              <w:rPr>
                <w:rFonts w:hint="eastAsia" w:ascii="宋体" w:hAnsi="宋体" w:eastAsia="宋体" w:cs="Times New Roman"/>
                <w:b/>
                <w:color w:val="auto"/>
                <w:kern w:val="2"/>
                <w:sz w:val="18"/>
                <w:szCs w:val="18"/>
                <w:highlight w:val="none"/>
                <w:lang w:val="en-US" w:eastAsia="zh-CN" w:bidi="ar-SA"/>
              </w:rPr>
            </w:pPr>
            <w:r>
              <w:rPr>
                <w:rFonts w:hint="eastAsia" w:ascii="宋体" w:hAnsi="宋体"/>
                <w:b/>
                <w:color w:val="auto"/>
                <w:sz w:val="18"/>
                <w:szCs w:val="18"/>
                <w:highlight w:val="none"/>
                <w:lang w:eastAsia="zh-CN"/>
              </w:rPr>
              <w:t>施工队安全费用</w:t>
            </w: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28"/>
                <w:szCs w:val="28"/>
                <w:highlight w:val="yellow"/>
              </w:rPr>
            </w:pPr>
          </w:p>
        </w:tc>
        <w:tc>
          <w:tcPr>
            <w:tcW w:w="1923" w:type="dxa"/>
            <w:vAlign w:val="center"/>
          </w:tcPr>
          <w:p>
            <w:pPr>
              <w:jc w:val="center"/>
              <w:rPr>
                <w:rFonts w:hint="default" w:ascii="宋体" w:hAnsi="宋体" w:eastAsia="宋体" w:cs="Times New Roman"/>
                <w:b/>
                <w:color w:val="auto"/>
                <w:kern w:val="2"/>
                <w:sz w:val="18"/>
                <w:szCs w:val="18"/>
                <w:highlight w:val="none"/>
                <w:lang w:val="en-US" w:eastAsia="zh-CN" w:bidi="ar-SA"/>
              </w:rPr>
            </w:pPr>
            <w:r>
              <w:rPr>
                <w:rFonts w:hint="eastAsia" w:ascii="宋体" w:hAnsi="宋体"/>
                <w:b/>
                <w:color w:val="auto"/>
                <w:sz w:val="18"/>
                <w:szCs w:val="18"/>
                <w:highlight w:val="none"/>
                <w:lang w:val="en-US" w:eastAsia="zh-CN"/>
              </w:rPr>
              <w:t>施工队环保费用</w:t>
            </w: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hint="default" w:ascii="宋体" w:hAnsi="宋体" w:eastAsia="宋体"/>
                <w:b/>
                <w:sz w:val="18"/>
                <w:szCs w:val="18"/>
                <w:highlight w:val="yellow"/>
                <w:lang w:val="en-US" w:eastAsia="zh-CN"/>
              </w:rPr>
            </w:pPr>
          </w:p>
        </w:tc>
        <w:tc>
          <w:tcPr>
            <w:tcW w:w="1923" w:type="dxa"/>
            <w:vAlign w:val="center"/>
          </w:tcPr>
          <w:p>
            <w:pPr>
              <w:jc w:val="both"/>
              <w:rPr>
                <w:rFonts w:hint="eastAsia" w:ascii="宋体" w:hAnsi="宋体" w:eastAsia="宋体"/>
                <w:b/>
                <w:color w:val="auto"/>
                <w:sz w:val="18"/>
                <w:szCs w:val="18"/>
                <w:highlight w:val="none"/>
                <w:lang w:eastAsia="zh-CN"/>
              </w:rPr>
            </w:pP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dxa"/>
            <w:vAlign w:val="center"/>
          </w:tcPr>
          <w:p>
            <w:pPr>
              <w:jc w:val="center"/>
              <w:rPr>
                <w:rFonts w:ascii="宋体" w:hAnsi="宋体"/>
                <w:b/>
                <w:sz w:val="18"/>
                <w:szCs w:val="18"/>
                <w:highlight w:val="yellow"/>
              </w:rPr>
            </w:pPr>
          </w:p>
        </w:tc>
        <w:tc>
          <w:tcPr>
            <w:tcW w:w="1923" w:type="dxa"/>
            <w:vAlign w:val="center"/>
          </w:tcPr>
          <w:p>
            <w:pPr>
              <w:jc w:val="center"/>
              <w:rPr>
                <w:rFonts w:hint="default" w:ascii="宋体" w:hAnsi="宋体" w:eastAsia="宋体"/>
                <w:b/>
                <w:color w:val="auto"/>
                <w:sz w:val="18"/>
                <w:szCs w:val="18"/>
                <w:highlight w:val="none"/>
                <w:lang w:val="en-US" w:eastAsia="zh-CN"/>
              </w:rPr>
            </w:pPr>
            <w:r>
              <w:rPr>
                <w:rFonts w:hint="eastAsia" w:ascii="宋体" w:hAnsi="宋体"/>
                <w:b/>
                <w:color w:val="auto"/>
                <w:sz w:val="18"/>
                <w:szCs w:val="18"/>
                <w:highlight w:val="none"/>
                <w:lang w:val="en-US" w:eastAsia="zh-CN"/>
              </w:rPr>
              <w:t>合计</w:t>
            </w:r>
          </w:p>
        </w:tc>
        <w:tc>
          <w:tcPr>
            <w:tcW w:w="1219" w:type="dxa"/>
            <w:vAlign w:val="center"/>
          </w:tcPr>
          <w:p>
            <w:pPr>
              <w:jc w:val="center"/>
              <w:rPr>
                <w:rFonts w:ascii="宋体" w:hAnsi="宋体"/>
                <w:b/>
                <w:sz w:val="28"/>
                <w:szCs w:val="28"/>
                <w:highlight w:val="yellow"/>
              </w:rPr>
            </w:pPr>
          </w:p>
        </w:tc>
        <w:tc>
          <w:tcPr>
            <w:tcW w:w="1219"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751" w:type="dxa"/>
            <w:vAlign w:val="center"/>
          </w:tcPr>
          <w:p>
            <w:pPr>
              <w:jc w:val="center"/>
              <w:rPr>
                <w:rFonts w:ascii="宋体" w:hAnsi="宋体"/>
                <w:b/>
                <w:sz w:val="28"/>
                <w:szCs w:val="28"/>
                <w:highlight w:val="yellow"/>
              </w:rPr>
            </w:pPr>
          </w:p>
        </w:tc>
        <w:tc>
          <w:tcPr>
            <w:tcW w:w="1923" w:type="dxa"/>
            <w:vAlign w:val="center"/>
          </w:tcPr>
          <w:p>
            <w:pPr>
              <w:jc w:val="center"/>
              <w:rPr>
                <w:rFonts w:ascii="宋体" w:hAnsi="宋体"/>
                <w:b/>
                <w:sz w:val="28"/>
                <w:szCs w:val="28"/>
                <w:highlight w:val="yellow"/>
              </w:rPr>
            </w:pPr>
          </w:p>
        </w:tc>
        <w:tc>
          <w:tcPr>
            <w:tcW w:w="750" w:type="dxa"/>
            <w:vAlign w:val="center"/>
          </w:tcPr>
          <w:p>
            <w:pPr>
              <w:jc w:val="center"/>
              <w:rPr>
                <w:rFonts w:ascii="宋体" w:hAnsi="宋体"/>
                <w:b/>
                <w:sz w:val="28"/>
                <w:szCs w:val="28"/>
                <w:highlight w:val="yellow"/>
              </w:rPr>
            </w:pPr>
            <w:r>
              <w:rPr>
                <w:rFonts w:hint="eastAsia" w:ascii="黑体" w:hAnsi="黑体" w:eastAsia="黑体" w:cs="黑体"/>
                <w:b w:val="0"/>
                <w:bCs/>
                <w:color w:val="000000"/>
                <w:sz w:val="18"/>
                <w:szCs w:val="18"/>
                <w:highlight w:val="none"/>
                <w:u w:val="none"/>
              </w:rPr>
              <w:t>总价包死价格</w:t>
            </w:r>
          </w:p>
        </w:tc>
      </w:tr>
      <w:bookmarkEnd w:id="103"/>
    </w:tbl>
    <w:p>
      <w:pPr>
        <w:pStyle w:val="7"/>
        <w:ind w:left="0" w:leftChars="0" w:firstLine="0" w:firstLineChars="0"/>
        <w:rPr>
          <w:highlight w:val="none"/>
        </w:rPr>
      </w:pPr>
      <w:bookmarkStart w:id="106" w:name="_Toc325102497"/>
      <w:bookmarkStart w:id="107" w:name="_Toc269910297"/>
      <w:bookmarkStart w:id="108" w:name="_Toc488175096"/>
    </w:p>
    <w:p>
      <w:pPr>
        <w:ind w:firstLine="420"/>
        <w:rPr>
          <w:rFonts w:ascii="宋体" w:hAnsi="宋体"/>
          <w:highlight w:val="yellow"/>
        </w:rPr>
      </w:pPr>
      <w:r>
        <w:rPr>
          <w:rFonts w:ascii="宋体" w:hAnsi="宋体"/>
          <w:highlight w:val="yellow"/>
        </w:rPr>
        <w:br w:type="page"/>
      </w:r>
    </w:p>
    <w:p>
      <w:pPr>
        <w:pStyle w:val="5"/>
        <w:numPr>
          <w:ilvl w:val="0"/>
          <w:numId w:val="6"/>
        </w:numPr>
        <w:spacing w:before="120" w:after="120"/>
        <w:rPr>
          <w:rFonts w:ascii="宋体" w:hAnsi="宋体" w:eastAsia="宋体"/>
          <w:highlight w:val="none"/>
        </w:rPr>
      </w:pPr>
      <w:bookmarkStart w:id="109" w:name="_Toc526774681"/>
      <w:bookmarkStart w:id="110" w:name="_Toc23289"/>
      <w:r>
        <w:rPr>
          <w:rFonts w:ascii="宋体" w:hAnsi="宋体" w:eastAsia="宋体"/>
          <w:highlight w:val="none"/>
        </w:rPr>
        <w:t>工程量清单计价格式</w:t>
      </w:r>
      <w:bookmarkEnd w:id="106"/>
      <w:bookmarkEnd w:id="107"/>
      <w:bookmarkEnd w:id="108"/>
      <w:bookmarkEnd w:id="109"/>
      <w:bookmarkEnd w:id="110"/>
      <w:bookmarkStart w:id="111" w:name="_Toc24884"/>
      <w:bookmarkStart w:id="112" w:name="_Toc257927363"/>
      <w:bookmarkStart w:id="113" w:name="_Toc512177203"/>
      <w:bookmarkStart w:id="114" w:name="_Toc325102498"/>
      <w:bookmarkStart w:id="115" w:name="_Toc263798820"/>
      <w:bookmarkStart w:id="116" w:name="_Toc488175097"/>
      <w:bookmarkStart w:id="117" w:name="_Toc269910298"/>
      <w:bookmarkStart w:id="118" w:name="_Toc526774682"/>
    </w:p>
    <w:p>
      <w:pPr>
        <w:pStyle w:val="5"/>
        <w:numPr>
          <w:ilvl w:val="0"/>
          <w:numId w:val="0"/>
        </w:numPr>
        <w:spacing w:before="120" w:after="120"/>
        <w:rPr>
          <w:highlight w:val="none"/>
        </w:rPr>
      </w:pPr>
      <w:r>
        <w:rPr>
          <w:highlight w:val="none"/>
        </w:rPr>
        <w:t>2.1 填表须知</w:t>
      </w:r>
      <w:bookmarkEnd w:id="111"/>
      <w:bookmarkEnd w:id="112"/>
      <w:bookmarkEnd w:id="113"/>
      <w:bookmarkEnd w:id="114"/>
      <w:bookmarkEnd w:id="115"/>
      <w:bookmarkEnd w:id="116"/>
      <w:bookmarkEnd w:id="117"/>
      <w:bookmarkEnd w:id="118"/>
    </w:p>
    <w:tbl>
      <w:tblPr>
        <w:tblStyle w:val="5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2" w:type="dxa"/>
          </w:tcPr>
          <w:p>
            <w:pPr>
              <w:spacing w:before="240" w:after="240"/>
              <w:ind w:firstLine="560"/>
              <w:jc w:val="center"/>
              <w:rPr>
                <w:rFonts w:ascii="宋体" w:hAnsi="宋体"/>
                <w:b/>
                <w:sz w:val="24"/>
                <w:highlight w:val="none"/>
              </w:rPr>
            </w:pPr>
            <w:r>
              <w:rPr>
                <w:rFonts w:ascii="宋体" w:hAnsi="宋体"/>
                <w:bCs/>
                <w:sz w:val="28"/>
                <w:szCs w:val="28"/>
                <w:highlight w:val="none"/>
              </w:rPr>
              <w:t>填表须知</w:t>
            </w:r>
          </w:p>
          <w:p>
            <w:pPr>
              <w:ind w:firstLine="360"/>
              <w:rPr>
                <w:rFonts w:ascii="宋体" w:hAnsi="宋体"/>
                <w:sz w:val="18"/>
                <w:szCs w:val="18"/>
                <w:highlight w:val="none"/>
              </w:rPr>
            </w:pPr>
            <w:bookmarkStart w:id="119" w:name="_Toc500950624"/>
            <w:bookmarkStart w:id="120" w:name="_Toc501287890"/>
            <w:r>
              <w:rPr>
                <w:rFonts w:ascii="宋体" w:hAnsi="宋体"/>
                <w:sz w:val="18"/>
                <w:szCs w:val="18"/>
                <w:highlight w:val="none"/>
              </w:rPr>
              <w:t>1. 工程量清单计价格式应由投标人填写。</w:t>
            </w:r>
            <w:bookmarkEnd w:id="119"/>
            <w:bookmarkEnd w:id="120"/>
          </w:p>
          <w:p>
            <w:pPr>
              <w:topLinePunct/>
              <w:spacing w:before="40" w:after="40"/>
              <w:ind w:firstLine="360"/>
              <w:rPr>
                <w:rFonts w:ascii="宋体" w:hAnsi="宋体"/>
                <w:sz w:val="18"/>
                <w:szCs w:val="18"/>
                <w:highlight w:val="none"/>
              </w:rPr>
            </w:pPr>
            <w:r>
              <w:rPr>
                <w:rFonts w:ascii="宋体" w:hAnsi="宋体"/>
                <w:sz w:val="18"/>
                <w:szCs w:val="18"/>
                <w:highlight w:val="none"/>
              </w:rPr>
              <w:t>2. 工程量清单计价格式中的任何内容不得随意删除或涂改。</w:t>
            </w:r>
          </w:p>
          <w:p>
            <w:pPr>
              <w:topLinePunct/>
              <w:spacing w:before="40" w:after="40"/>
              <w:ind w:firstLine="360"/>
              <w:rPr>
                <w:rFonts w:ascii="宋体" w:hAnsi="宋体"/>
                <w:sz w:val="18"/>
                <w:szCs w:val="18"/>
                <w:highlight w:val="none"/>
              </w:rPr>
            </w:pPr>
            <w:r>
              <w:rPr>
                <w:rFonts w:ascii="宋体" w:hAnsi="宋体"/>
                <w:sz w:val="18"/>
                <w:szCs w:val="18"/>
                <w:highlight w:val="none"/>
              </w:rPr>
              <w:t>3. 工程量清单计价格式中列明的所有需要填报的单价和合价，投标人均应填报；未填报的单价和合价，视为此项费用已包含在工程量清单的其他单价和合价中。</w:t>
            </w:r>
          </w:p>
          <w:p>
            <w:pPr>
              <w:topLinePunct/>
              <w:spacing w:before="40" w:after="40"/>
              <w:ind w:firstLine="360"/>
              <w:rPr>
                <w:rFonts w:ascii="宋体" w:hAnsi="宋体"/>
                <w:sz w:val="18"/>
                <w:szCs w:val="18"/>
                <w:highlight w:val="none"/>
              </w:rPr>
            </w:pPr>
            <w:r>
              <w:rPr>
                <w:rFonts w:ascii="宋体" w:hAnsi="宋体"/>
                <w:sz w:val="18"/>
                <w:szCs w:val="18"/>
                <w:highlight w:val="none"/>
              </w:rPr>
              <w:t>4. 金额（价格）以人民币“元”为单位，单价保留小数点后两位，合价取整数。</w:t>
            </w:r>
          </w:p>
          <w:p>
            <w:pPr>
              <w:topLinePunct/>
              <w:spacing w:before="40" w:after="40"/>
              <w:ind w:firstLine="360"/>
              <w:rPr>
                <w:rFonts w:ascii="宋体" w:hAnsi="宋体"/>
                <w:sz w:val="18"/>
                <w:szCs w:val="18"/>
                <w:highlight w:val="none"/>
              </w:rPr>
            </w:pPr>
            <w:r>
              <w:rPr>
                <w:rFonts w:ascii="宋体" w:hAnsi="宋体"/>
                <w:sz w:val="18"/>
                <w:szCs w:val="18"/>
                <w:highlight w:val="none"/>
              </w:rPr>
              <w:t>5.工程量清单计价表格由</w:t>
            </w:r>
            <w:r>
              <w:rPr>
                <w:rFonts w:ascii="宋体" w:hAnsi="宋体"/>
                <w:sz w:val="18"/>
                <w:szCs w:val="18"/>
                <w:highlight w:val="none"/>
                <w:u w:val="single"/>
              </w:rPr>
              <w:t>EXCEL</w:t>
            </w:r>
            <w:r>
              <w:rPr>
                <w:rFonts w:ascii="宋体" w:hAnsi="宋体"/>
                <w:sz w:val="18"/>
                <w:szCs w:val="18"/>
                <w:highlight w:val="none"/>
              </w:rPr>
              <w:t>生成（电商平台形式确定）</w:t>
            </w:r>
          </w:p>
          <w:p>
            <w:pPr>
              <w:topLinePunct/>
              <w:spacing w:before="40" w:after="40"/>
              <w:ind w:firstLine="360"/>
              <w:rPr>
                <w:rFonts w:ascii="宋体" w:hAnsi="宋体"/>
                <w:sz w:val="18"/>
                <w:szCs w:val="18"/>
                <w:highlight w:val="none"/>
              </w:rPr>
            </w:pPr>
            <w:r>
              <w:rPr>
                <w:rFonts w:ascii="宋体" w:hAnsi="宋体"/>
                <w:sz w:val="18"/>
                <w:szCs w:val="18"/>
                <w:highlight w:val="none"/>
              </w:rPr>
              <w:t>6. 工程量清单计价格式的填写应符合下列规定：</w:t>
            </w:r>
          </w:p>
          <w:p>
            <w:pPr>
              <w:topLinePunct/>
              <w:spacing w:before="40" w:after="40"/>
              <w:ind w:firstLine="360"/>
              <w:rPr>
                <w:rFonts w:ascii="宋体" w:hAnsi="宋体"/>
                <w:sz w:val="18"/>
                <w:szCs w:val="18"/>
                <w:highlight w:val="none"/>
              </w:rPr>
            </w:pPr>
            <w:r>
              <w:rPr>
                <w:rFonts w:ascii="宋体" w:hAnsi="宋体"/>
                <w:sz w:val="18"/>
                <w:szCs w:val="18"/>
                <w:highlight w:val="none"/>
              </w:rPr>
              <w:t>（1）工程量清单计价格式中所有要求签字、盖章的地方，必须由规定的单位和人员签字、盖章。（参考电商平台要求）</w:t>
            </w:r>
          </w:p>
          <w:p>
            <w:pPr>
              <w:topLinePunct/>
              <w:spacing w:before="40" w:after="40"/>
              <w:ind w:firstLine="360"/>
              <w:rPr>
                <w:rFonts w:ascii="宋体" w:hAnsi="宋体"/>
                <w:sz w:val="18"/>
                <w:szCs w:val="18"/>
                <w:highlight w:val="none"/>
              </w:rPr>
            </w:pPr>
            <w:r>
              <w:rPr>
                <w:rFonts w:ascii="宋体" w:hAnsi="宋体"/>
                <w:sz w:val="18"/>
                <w:szCs w:val="18"/>
                <w:highlight w:val="none"/>
              </w:rPr>
              <w:t>（2）工程量清单报价编制说明应包括：工程概况、编制依据以及其他需要说明的问题。包括但不限于工程量清单计价的编制原则，人工、材料及机械台班的价格水平，综合单价的编制方法及有关取费标准，以及有关费用计取方法。</w:t>
            </w:r>
          </w:p>
          <w:p>
            <w:pPr>
              <w:topLinePunct/>
              <w:spacing w:before="40" w:after="40"/>
              <w:ind w:firstLine="360"/>
              <w:rPr>
                <w:rFonts w:ascii="宋体" w:hAnsi="宋体"/>
                <w:sz w:val="18"/>
                <w:szCs w:val="18"/>
                <w:highlight w:val="none"/>
              </w:rPr>
            </w:pPr>
            <w:r>
              <w:rPr>
                <w:rFonts w:ascii="宋体" w:hAnsi="宋体"/>
                <w:sz w:val="18"/>
                <w:szCs w:val="18"/>
                <w:highlight w:val="none"/>
              </w:rPr>
              <w:t>（3）投标总报价表</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①</w:t>
            </w:r>
            <w:r>
              <w:rPr>
                <w:rFonts w:ascii="宋体" w:hAnsi="宋体"/>
                <w:sz w:val="18"/>
                <w:szCs w:val="18"/>
                <w:highlight w:val="none"/>
              </w:rPr>
              <w:t>分部分项工程清单部分根据建筑工程报价汇总表和安装工程报价汇总表，按单项工程汇总的金额填写。</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②</w:t>
            </w:r>
            <w:r>
              <w:rPr>
                <w:rFonts w:ascii="宋体" w:hAnsi="宋体"/>
                <w:sz w:val="18"/>
                <w:szCs w:val="18"/>
                <w:highlight w:val="none"/>
              </w:rPr>
              <w:t>其他项目费用按照其他项目清单计价表中合计栏的金额填写。</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③</w:t>
            </w:r>
            <w:r>
              <w:rPr>
                <w:rFonts w:ascii="宋体" w:hAnsi="宋体"/>
                <w:sz w:val="18"/>
                <w:szCs w:val="18"/>
                <w:highlight w:val="none"/>
              </w:rPr>
              <w:t>暂估价、暂列金额按照招标人提供的金额填写。</w:t>
            </w:r>
          </w:p>
          <w:p>
            <w:pPr>
              <w:topLinePunct/>
              <w:spacing w:before="40" w:after="40"/>
              <w:ind w:firstLine="360"/>
              <w:rPr>
                <w:rFonts w:ascii="宋体" w:hAnsi="宋体"/>
                <w:b/>
                <w:bCs/>
                <w:sz w:val="18"/>
                <w:szCs w:val="18"/>
                <w:highlight w:val="none"/>
              </w:rPr>
            </w:pPr>
            <w:r>
              <w:rPr>
                <w:rFonts w:ascii="宋体" w:hAnsi="宋体"/>
                <w:sz w:val="18"/>
                <w:szCs w:val="18"/>
                <w:highlight w:val="none"/>
              </w:rPr>
              <w:t>（4）建筑工程报价汇总表和安装工程报价汇总表根据分部分项工程量清单计价表，按单位工程汇总的金额填写。</w:t>
            </w:r>
          </w:p>
          <w:p>
            <w:pPr>
              <w:topLinePunct/>
              <w:spacing w:before="40" w:after="40"/>
              <w:ind w:firstLine="360"/>
              <w:rPr>
                <w:rFonts w:ascii="宋体" w:hAnsi="宋体"/>
                <w:b/>
                <w:bCs/>
                <w:sz w:val="18"/>
                <w:szCs w:val="18"/>
                <w:highlight w:val="none"/>
              </w:rPr>
            </w:pPr>
            <w:r>
              <w:rPr>
                <w:rFonts w:ascii="宋体" w:hAnsi="宋体"/>
                <w:sz w:val="18"/>
                <w:szCs w:val="18"/>
                <w:highlight w:val="none"/>
              </w:rPr>
              <w:t>（5）其他项目清单计价表</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①</w:t>
            </w:r>
            <w:r>
              <w:rPr>
                <w:rFonts w:ascii="宋体" w:hAnsi="宋体"/>
                <w:sz w:val="18"/>
                <w:szCs w:val="18"/>
                <w:highlight w:val="none"/>
              </w:rPr>
              <w:t>招标人已列项目的序号、项目名称必须按其他项目清单中的相应内容填写。</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②</w:t>
            </w:r>
            <w:r>
              <w:rPr>
                <w:rFonts w:ascii="宋体" w:hAnsi="宋体"/>
                <w:sz w:val="18"/>
                <w:szCs w:val="18"/>
                <w:highlight w:val="none"/>
              </w:rPr>
              <w:t>招标人已列项目的金额必须按招标人提供的金额填写。</w:t>
            </w:r>
          </w:p>
          <w:p>
            <w:pPr>
              <w:topLinePunct/>
              <w:spacing w:before="40" w:after="40"/>
              <w:ind w:firstLine="360"/>
              <w:rPr>
                <w:rFonts w:ascii="宋体" w:hAnsi="宋体"/>
                <w:sz w:val="18"/>
                <w:szCs w:val="18"/>
                <w:highlight w:val="none"/>
              </w:rPr>
            </w:pPr>
            <w:r>
              <w:rPr>
                <w:rFonts w:ascii="宋体" w:hAnsi="宋体"/>
                <w:sz w:val="18"/>
                <w:szCs w:val="18"/>
                <w:highlight w:val="none"/>
              </w:rPr>
              <w:t>（6）分部分项工程量清单计价表的序号、项目名称、计量单位和工程量必须按分部分项工程量清单中的相应内容填写；材料和专业工程暂估价必须按招标人提供的价格（工程量清单说明中1.7.1材料暂估单价表、1.7.2专业工程暂估价表）计入；综合单价金额与综合单价分析表中对应项目金额一致。</w:t>
            </w:r>
          </w:p>
          <w:p>
            <w:pPr>
              <w:topLinePunct/>
              <w:spacing w:before="40" w:after="40"/>
              <w:ind w:firstLine="360"/>
              <w:rPr>
                <w:rFonts w:ascii="宋体" w:hAnsi="宋体"/>
                <w:b/>
                <w:bCs/>
                <w:sz w:val="18"/>
                <w:szCs w:val="18"/>
                <w:highlight w:val="none"/>
              </w:rPr>
            </w:pPr>
            <w:r>
              <w:rPr>
                <w:rFonts w:ascii="宋体" w:hAnsi="宋体"/>
                <w:sz w:val="18"/>
                <w:szCs w:val="18"/>
                <w:highlight w:val="none"/>
              </w:rPr>
              <w:t>（7）单位工程报价组成表填至单位工程深度，本表合计栏金额与建筑工程报价汇总表和安装工程报价汇总表中对应项目费用金额一致。</w:t>
            </w:r>
          </w:p>
          <w:p>
            <w:pPr>
              <w:topLinePunct/>
              <w:spacing w:before="40" w:after="40"/>
              <w:ind w:firstLine="360"/>
              <w:rPr>
                <w:rFonts w:ascii="宋体" w:hAnsi="宋体"/>
                <w:b/>
                <w:bCs/>
                <w:sz w:val="18"/>
                <w:szCs w:val="18"/>
                <w:highlight w:val="none"/>
              </w:rPr>
            </w:pPr>
            <w:r>
              <w:rPr>
                <w:rFonts w:ascii="宋体" w:hAnsi="宋体"/>
                <w:sz w:val="18"/>
                <w:szCs w:val="18"/>
                <w:highlight w:val="none"/>
              </w:rPr>
              <w:t>（8）投标人采购主要设备、材料计价表中填写用量大、影响投标报价的投标人采购的设备、材料，数量根据分部分项工程量清单计价表中工程量和综合单价分析表中材料消耗量分析计算而来，所填写的单价必须与综合单价分析表和分部分项工程量清单计价表中相应材料的单价一致。</w:t>
            </w:r>
          </w:p>
          <w:p>
            <w:pPr>
              <w:topLinePunct/>
              <w:spacing w:before="40" w:after="40"/>
              <w:ind w:firstLine="360"/>
              <w:rPr>
                <w:rFonts w:ascii="宋体" w:hAnsi="宋体"/>
                <w:b/>
                <w:bCs/>
                <w:sz w:val="18"/>
                <w:szCs w:val="18"/>
                <w:highlight w:val="none"/>
              </w:rPr>
            </w:pPr>
            <w:r>
              <w:rPr>
                <w:rFonts w:ascii="宋体" w:hAnsi="宋体"/>
                <w:sz w:val="18"/>
                <w:szCs w:val="18"/>
                <w:highlight w:val="none"/>
              </w:rPr>
              <w:t>（9）综合单价分析表</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①</w:t>
            </w:r>
            <w:r>
              <w:rPr>
                <w:rFonts w:ascii="宋体" w:hAnsi="宋体"/>
                <w:sz w:val="18"/>
                <w:szCs w:val="18"/>
                <w:highlight w:val="none"/>
              </w:rPr>
              <w:t>本表序号、工程项目名称、计量单位同分部分项工程量清单计价表相应内容一致。</w:t>
            </w:r>
          </w:p>
          <w:p>
            <w:pPr>
              <w:topLinePunct/>
              <w:spacing w:before="40" w:after="40"/>
              <w:ind w:firstLine="360"/>
              <w:rPr>
                <w:rFonts w:ascii="宋体" w:hAnsi="宋体"/>
                <w:b/>
                <w:bCs/>
                <w:sz w:val="18"/>
                <w:szCs w:val="18"/>
                <w:highlight w:val="none"/>
              </w:rPr>
            </w:pPr>
            <w:r>
              <w:rPr>
                <w:rFonts w:hint="eastAsia" w:ascii="宋体" w:hAnsi="宋体" w:cs="宋体"/>
                <w:sz w:val="18"/>
                <w:szCs w:val="18"/>
                <w:highlight w:val="none"/>
              </w:rPr>
              <w:t>②</w:t>
            </w:r>
            <w:r>
              <w:rPr>
                <w:rFonts w:ascii="宋体" w:hAnsi="宋体"/>
                <w:sz w:val="18"/>
                <w:szCs w:val="18"/>
                <w:highlight w:val="none"/>
              </w:rPr>
              <w:t>表中需列明清单子目人工、主要材料、主要施工机械的耗用量、单价、合价及取费基数和费率等内容，分部分项工程量清单计价表所有项目均应提供</w:t>
            </w:r>
            <w:r>
              <w:rPr>
                <w:rFonts w:ascii="宋体" w:hAnsi="宋体"/>
                <w:spacing w:val="10"/>
                <w:sz w:val="18"/>
                <w:szCs w:val="18"/>
                <w:highlight w:val="none"/>
              </w:rPr>
              <w:t>综</w:t>
            </w:r>
            <w:r>
              <w:rPr>
                <w:rFonts w:ascii="宋体" w:hAnsi="宋体"/>
                <w:sz w:val="18"/>
                <w:szCs w:val="18"/>
                <w:highlight w:val="none"/>
              </w:rPr>
              <w:t>合单价分析表。</w:t>
            </w:r>
          </w:p>
          <w:p>
            <w:pPr>
              <w:topLinePunct/>
              <w:spacing w:before="40" w:after="40"/>
              <w:ind w:firstLine="360"/>
              <w:rPr>
                <w:rFonts w:ascii="宋体" w:hAnsi="宋体"/>
                <w:sz w:val="18"/>
                <w:szCs w:val="18"/>
                <w:highlight w:val="none"/>
              </w:rPr>
            </w:pPr>
            <w:r>
              <w:rPr>
                <w:rFonts w:hint="eastAsia" w:ascii="宋体" w:hAnsi="宋体" w:cs="宋体"/>
                <w:sz w:val="18"/>
                <w:szCs w:val="18"/>
                <w:highlight w:val="none"/>
              </w:rPr>
              <w:t>③</w:t>
            </w:r>
            <w:r>
              <w:rPr>
                <w:rFonts w:ascii="宋体" w:hAnsi="宋体"/>
                <w:sz w:val="18"/>
                <w:szCs w:val="18"/>
                <w:highlight w:val="none"/>
              </w:rPr>
              <w:t>表中除招标人已列明的项目外，按照招标文件中有关综合单价中应包括的费用（含风险费用）规定，投标人的报价下浮让利只在本表有关栏目中反映。</w:t>
            </w:r>
          </w:p>
          <w:p>
            <w:pPr>
              <w:ind w:firstLine="360"/>
              <w:rPr>
                <w:rFonts w:ascii="宋体" w:hAnsi="宋体"/>
                <w:sz w:val="18"/>
                <w:szCs w:val="18"/>
                <w:highlight w:val="none"/>
              </w:rPr>
            </w:pPr>
            <w:bookmarkStart w:id="121" w:name="_Toc500950648"/>
            <w:bookmarkStart w:id="122" w:name="_Toc501287914"/>
            <w:r>
              <w:rPr>
                <w:rFonts w:ascii="宋体" w:hAnsi="宋体"/>
                <w:sz w:val="18"/>
                <w:szCs w:val="18"/>
                <w:highlight w:val="none"/>
              </w:rPr>
              <w:t>（10）计日工计价表中投标人可根据其施工需要增列必要的项目。</w:t>
            </w:r>
            <w:bookmarkEnd w:id="121"/>
            <w:bookmarkEnd w:id="122"/>
          </w:p>
          <w:p>
            <w:pPr>
              <w:topLinePunct/>
              <w:spacing w:before="40" w:after="40"/>
              <w:ind w:firstLine="360"/>
              <w:rPr>
                <w:rFonts w:ascii="宋体" w:hAnsi="宋体"/>
                <w:b/>
                <w:bCs/>
                <w:sz w:val="18"/>
                <w:szCs w:val="18"/>
                <w:highlight w:val="none"/>
              </w:rPr>
            </w:pPr>
            <w:bookmarkStart w:id="123" w:name="_Toc501287915"/>
            <w:bookmarkStart w:id="124" w:name="_Toc500950649"/>
            <w:r>
              <w:rPr>
                <w:rFonts w:ascii="宋体" w:hAnsi="宋体"/>
                <w:sz w:val="18"/>
                <w:szCs w:val="18"/>
                <w:highlight w:val="none"/>
              </w:rPr>
              <w:t>（11）总价付款分解表根据总价工程形象进度进行编制。</w:t>
            </w:r>
            <w:bookmarkEnd w:id="123"/>
            <w:bookmarkEnd w:id="124"/>
          </w:p>
        </w:tc>
      </w:tr>
    </w:tbl>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sectPr>
          <w:pgSz w:w="11907" w:h="16840"/>
          <w:pgMar w:top="1701" w:right="1418" w:bottom="1418" w:left="1418" w:header="851" w:footer="851" w:gutter="0"/>
          <w:cols w:space="425" w:num="1"/>
          <w:docGrid w:linePitch="312" w:charSpace="0"/>
        </w:sectPr>
      </w:pPr>
    </w:p>
    <w:p>
      <w:pPr>
        <w:pStyle w:val="7"/>
        <w:rPr>
          <w:highlight w:val="none"/>
        </w:rPr>
      </w:pPr>
      <w:bookmarkStart w:id="125" w:name="_Toc325102499"/>
      <w:bookmarkStart w:id="126" w:name="_Toc257927364"/>
      <w:bookmarkStart w:id="127" w:name="_Toc526774683"/>
      <w:bookmarkStart w:id="128" w:name="_Toc269910299"/>
      <w:bookmarkStart w:id="129" w:name="_Toc263798821"/>
      <w:bookmarkStart w:id="130" w:name="_Toc13374"/>
      <w:bookmarkStart w:id="131" w:name="_Toc488175098"/>
      <w:r>
        <w:rPr>
          <w:highlight w:val="none"/>
        </w:rPr>
        <w:t>2.2 报价表</w:t>
      </w:r>
      <w:bookmarkEnd w:id="125"/>
      <w:bookmarkEnd w:id="126"/>
      <w:bookmarkEnd w:id="127"/>
      <w:bookmarkEnd w:id="128"/>
      <w:bookmarkEnd w:id="129"/>
      <w:bookmarkEnd w:id="130"/>
      <w:bookmarkEnd w:id="131"/>
    </w:p>
    <w:p>
      <w:pPr>
        <w:pStyle w:val="7"/>
        <w:rPr>
          <w:highlight w:val="none"/>
        </w:rPr>
      </w:pPr>
      <w:bookmarkStart w:id="132" w:name="_Toc257927365"/>
      <w:bookmarkStart w:id="133" w:name="_Toc526774684"/>
      <w:bookmarkStart w:id="134" w:name="_Toc30555"/>
      <w:r>
        <w:rPr>
          <w:highlight w:val="none"/>
        </w:rPr>
        <w:t>表1：工程量清单报价编制说明</w:t>
      </w:r>
      <w:bookmarkEnd w:id="132"/>
      <w:bookmarkEnd w:id="133"/>
      <w:bookmarkEnd w:id="134"/>
    </w:p>
    <w:p>
      <w:pPr>
        <w:spacing w:line="400" w:lineRule="exact"/>
        <w:ind w:firstLine="560"/>
        <w:jc w:val="center"/>
        <w:rPr>
          <w:rFonts w:ascii="宋体" w:hAnsi="宋体"/>
          <w:highlight w:val="none"/>
        </w:rPr>
      </w:pPr>
      <w:r>
        <w:rPr>
          <w:rFonts w:ascii="宋体" w:hAnsi="宋体"/>
          <w:bCs/>
          <w:sz w:val="28"/>
          <w:szCs w:val="28"/>
          <w:highlight w:val="none"/>
        </w:rPr>
        <w:t>工程量清单报价编制说明</w:t>
      </w:r>
    </w:p>
    <w:tbl>
      <w:tblPr>
        <w:tblStyle w:val="5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trPr>
        <w:tc>
          <w:tcPr>
            <w:tcW w:w="9287" w:type="dxa"/>
          </w:tcPr>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p>
            <w:pPr>
              <w:spacing w:line="400" w:lineRule="exact"/>
              <w:ind w:firstLine="420"/>
              <w:rPr>
                <w:rFonts w:ascii="宋体" w:hAnsi="宋体"/>
                <w:highlight w:val="none"/>
              </w:rPr>
            </w:pPr>
          </w:p>
        </w:tc>
      </w:tr>
    </w:tbl>
    <w:p>
      <w:pPr>
        <w:spacing w:line="440" w:lineRule="exact"/>
        <w:ind w:firstLine="210" w:firstLineChars="100"/>
        <w:jc w:val="left"/>
        <w:rPr>
          <w:rFonts w:ascii="宋体" w:hAnsi="宋体"/>
          <w:highlight w:val="none"/>
        </w:rPr>
      </w:pPr>
    </w:p>
    <w:p>
      <w:pPr>
        <w:ind w:firstLine="210" w:firstLineChars="100"/>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w:t>
      </w:r>
      <w:r>
        <w:rPr>
          <w:rFonts w:hint="eastAsia" w:ascii="宋体" w:hAnsi="宋体"/>
          <w:highlight w:val="none"/>
        </w:rPr>
        <w:t>（全称、盖章）</w:t>
      </w:r>
    </w:p>
    <w:p>
      <w:pPr>
        <w:ind w:firstLine="210" w:firstLineChars="100"/>
        <w:rPr>
          <w:rFonts w:ascii="宋体" w:hAnsi="宋体"/>
          <w:highlight w:val="none"/>
        </w:rPr>
      </w:pPr>
      <w:r>
        <w:rPr>
          <w:rFonts w:hint="eastAsia" w:ascii="宋体" w:hAnsi="宋体"/>
          <w:highlight w:val="none"/>
        </w:rPr>
        <w:t>法定代表人或委托代理人：</w:t>
      </w:r>
      <w:r>
        <w:rPr>
          <w:rFonts w:hint="eastAsia" w:ascii="宋体" w:hAnsi="宋体"/>
          <w:highlight w:val="none"/>
          <w:u w:val="single"/>
        </w:rPr>
        <w:t xml:space="preserve">             </w:t>
      </w:r>
      <w:r>
        <w:rPr>
          <w:rFonts w:hint="eastAsia" w:ascii="宋体" w:hAnsi="宋体"/>
          <w:highlight w:val="none"/>
        </w:rPr>
        <w:t>(姓名、签字)</w:t>
      </w:r>
    </w:p>
    <w:p>
      <w:pPr>
        <w:ind w:firstLine="210" w:firstLineChars="100"/>
        <w:rPr>
          <w:rFonts w:ascii="宋体" w:hAnsi="宋体"/>
          <w:highlight w:val="none"/>
        </w:r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7"/>
        <w:rPr>
          <w:highlight w:val="none"/>
        </w:rPr>
      </w:pPr>
      <w:r>
        <w:rPr>
          <w:highlight w:val="none"/>
        </w:rPr>
        <w:br w:type="page"/>
      </w:r>
      <w:bookmarkStart w:id="135" w:name="_Toc28933"/>
      <w:bookmarkStart w:id="136" w:name="_Toc257927366"/>
      <w:bookmarkStart w:id="137" w:name="_Toc526774685"/>
      <w:bookmarkStart w:id="138" w:name="_Toc525585174"/>
      <w:r>
        <w:rPr>
          <w:highlight w:val="none"/>
        </w:rPr>
        <w:t>表2：投标总报价表</w:t>
      </w:r>
      <w:bookmarkEnd w:id="135"/>
      <w:bookmarkEnd w:id="136"/>
      <w:bookmarkEnd w:id="137"/>
      <w:bookmarkEnd w:id="138"/>
    </w:p>
    <w:p>
      <w:pPr>
        <w:ind w:firstLine="562"/>
        <w:jc w:val="center"/>
        <w:rPr>
          <w:rFonts w:ascii="宋体" w:hAnsi="宋体"/>
          <w:b/>
          <w:sz w:val="28"/>
          <w:szCs w:val="28"/>
          <w:highlight w:val="none"/>
        </w:rPr>
      </w:pPr>
      <w:r>
        <w:rPr>
          <w:rFonts w:ascii="宋体" w:hAnsi="宋体"/>
          <w:b/>
          <w:sz w:val="28"/>
          <w:szCs w:val="28"/>
          <w:highlight w:val="none"/>
        </w:rPr>
        <w:t>投标总报价表</w:t>
      </w:r>
    </w:p>
    <w:tbl>
      <w:tblPr>
        <w:tblStyle w:val="50"/>
        <w:tblW w:w="9287" w:type="dxa"/>
        <w:tblInd w:w="0" w:type="dxa"/>
        <w:tblLayout w:type="fixed"/>
        <w:tblCellMar>
          <w:top w:w="0" w:type="dxa"/>
          <w:left w:w="108" w:type="dxa"/>
          <w:bottom w:w="0" w:type="dxa"/>
          <w:right w:w="108" w:type="dxa"/>
        </w:tblCellMar>
      </w:tblPr>
      <w:tblGrid>
        <w:gridCol w:w="675"/>
        <w:gridCol w:w="2377"/>
        <w:gridCol w:w="771"/>
        <w:gridCol w:w="464"/>
        <w:gridCol w:w="925"/>
        <w:gridCol w:w="1235"/>
        <w:gridCol w:w="1670"/>
        <w:gridCol w:w="1170"/>
      </w:tblGrid>
      <w:tr>
        <w:tblPrEx>
          <w:tblCellMar>
            <w:top w:w="0" w:type="dxa"/>
            <w:left w:w="108" w:type="dxa"/>
            <w:bottom w:w="0" w:type="dxa"/>
            <w:right w:w="108" w:type="dxa"/>
          </w:tblCellMar>
        </w:tblPrEx>
        <w:trPr>
          <w:trHeight w:val="402" w:hRule="atLeast"/>
        </w:trPr>
        <w:tc>
          <w:tcPr>
            <w:tcW w:w="3052" w:type="dxa"/>
            <w:gridSpan w:val="2"/>
            <w:tcBorders>
              <w:top w:val="nil"/>
              <w:left w:val="nil"/>
              <w:bottom w:val="single" w:color="auto" w:sz="4" w:space="0"/>
              <w:right w:val="nil"/>
            </w:tcBorders>
            <w:shd w:val="clear" w:color="auto" w:fill="auto"/>
            <w:vAlign w:val="center"/>
          </w:tcPr>
          <w:p>
            <w:pPr>
              <w:jc w:val="left"/>
              <w:rPr>
                <w:rFonts w:ascii="宋体" w:hAnsi="宋体"/>
                <w:b/>
                <w:bCs/>
                <w:szCs w:val="21"/>
                <w:highlight w:val="none"/>
              </w:rPr>
            </w:pPr>
            <w:r>
              <w:rPr>
                <w:rFonts w:ascii="宋体" w:hAnsi="宋体"/>
                <w:b/>
                <w:bCs/>
                <w:szCs w:val="21"/>
                <w:highlight w:val="none"/>
              </w:rPr>
              <w:t>标段名称：</w:t>
            </w:r>
          </w:p>
        </w:tc>
        <w:tc>
          <w:tcPr>
            <w:tcW w:w="1235" w:type="dxa"/>
            <w:gridSpan w:val="2"/>
            <w:tcBorders>
              <w:top w:val="nil"/>
              <w:left w:val="nil"/>
              <w:bottom w:val="nil"/>
              <w:right w:val="nil"/>
            </w:tcBorders>
            <w:shd w:val="clear" w:color="auto" w:fill="auto"/>
            <w:vAlign w:val="center"/>
          </w:tcPr>
          <w:p>
            <w:pPr>
              <w:jc w:val="center"/>
              <w:rPr>
                <w:rFonts w:ascii="宋体" w:hAnsi="宋体"/>
                <w:b/>
                <w:bCs/>
                <w:szCs w:val="21"/>
                <w:highlight w:val="none"/>
              </w:rPr>
            </w:pPr>
          </w:p>
        </w:tc>
        <w:tc>
          <w:tcPr>
            <w:tcW w:w="5000" w:type="dxa"/>
            <w:gridSpan w:val="4"/>
            <w:tcBorders>
              <w:top w:val="nil"/>
              <w:left w:val="nil"/>
              <w:bottom w:val="nil"/>
              <w:right w:val="nil"/>
            </w:tcBorders>
            <w:shd w:val="clear" w:color="auto" w:fill="auto"/>
            <w:vAlign w:val="center"/>
          </w:tcPr>
          <w:p>
            <w:pPr>
              <w:jc w:val="center"/>
              <w:rPr>
                <w:rFonts w:ascii="宋体" w:hAnsi="宋体"/>
                <w:b/>
                <w:bCs/>
                <w:szCs w:val="21"/>
                <w:highlight w:val="none"/>
              </w:rPr>
            </w:pPr>
            <w:r>
              <w:rPr>
                <w:rFonts w:ascii="宋体" w:hAnsi="宋体"/>
                <w:b/>
                <w:bCs/>
                <w:szCs w:val="21"/>
                <w:highlight w:val="none"/>
              </w:rPr>
              <w:t>金额单位：元</w:t>
            </w: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序号</w:t>
            </w:r>
          </w:p>
        </w:tc>
        <w:tc>
          <w:tcPr>
            <w:tcW w:w="237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工程项目或费用名称</w:t>
            </w:r>
          </w:p>
        </w:tc>
        <w:tc>
          <w:tcPr>
            <w:tcW w:w="123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金额</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其中暂估价</w:t>
            </w:r>
          </w:p>
        </w:tc>
        <w:tc>
          <w:tcPr>
            <w:tcW w:w="28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备注</w:t>
            </w: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A</w:t>
            </w: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分部分项工程清单</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一</w:t>
            </w: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安装工程</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1</w:t>
            </w: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hint="eastAsia" w:ascii="宋体" w:hAnsi="宋体"/>
                <w:sz w:val="18"/>
                <w:szCs w:val="18"/>
                <w:highlight w:val="none"/>
              </w:rPr>
              <w:t>变电站设备及安装工程</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hint="eastAsia" w:ascii="宋体" w:hAnsi="宋体"/>
                <w:sz w:val="18"/>
                <w:szCs w:val="18"/>
                <w:highlight w:val="none"/>
              </w:rPr>
              <w:t>2</w:t>
            </w: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hint="eastAsia" w:ascii="宋体" w:hAnsi="宋体"/>
                <w:sz w:val="18"/>
                <w:szCs w:val="18"/>
                <w:highlight w:val="none"/>
              </w:rPr>
              <w:t>控制保护设备安装工程</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hint="eastAsia" w:ascii="宋体" w:hAnsi="宋体"/>
                <w:sz w:val="18"/>
                <w:szCs w:val="18"/>
                <w:highlight w:val="none"/>
              </w:rPr>
              <w:t>3</w:t>
            </w: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hint="eastAsia" w:ascii="宋体" w:hAnsi="宋体"/>
                <w:sz w:val="18"/>
                <w:szCs w:val="18"/>
                <w:highlight w:val="none"/>
              </w:rPr>
              <w:t>其他设备及安装工程</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B</w:t>
            </w: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其他项目</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67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377"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3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总计  A+B</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3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其中:</w:t>
            </w:r>
            <w:r>
              <w:rPr>
                <w:rFonts w:ascii="宋体" w:hAnsi="宋体"/>
                <w:color w:val="000000"/>
                <w:sz w:val="18"/>
                <w:szCs w:val="18"/>
                <w:highlight w:val="none"/>
              </w:rPr>
              <w:t>安全文明施工措施费</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sz w:val="18"/>
                <w:szCs w:val="18"/>
                <w:highlight w:val="none"/>
              </w:rPr>
            </w:pPr>
            <w:r>
              <w:rPr>
                <w:rFonts w:ascii="宋体" w:hAnsi="宋体"/>
                <w:color w:val="000000"/>
                <w:sz w:val="18"/>
                <w:szCs w:val="18"/>
                <w:highlight w:val="none"/>
              </w:rPr>
              <w:t>已含在分部分项工程综合单价中，仅单独列项，专项管理，不再重复计入总价，并提供计费基数及费率。</w:t>
            </w:r>
          </w:p>
        </w:tc>
      </w:tr>
      <w:tr>
        <w:tblPrEx>
          <w:tblCellMar>
            <w:top w:w="0" w:type="dxa"/>
            <w:left w:w="108" w:type="dxa"/>
            <w:bottom w:w="0" w:type="dxa"/>
            <w:right w:w="108" w:type="dxa"/>
          </w:tblCellMar>
        </w:tblPrEx>
        <w:trPr>
          <w:trHeight w:val="402" w:hRule="atLeast"/>
        </w:trPr>
        <w:tc>
          <w:tcPr>
            <w:tcW w:w="3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临时设施费</w:t>
            </w:r>
          </w:p>
        </w:tc>
        <w:tc>
          <w:tcPr>
            <w:tcW w:w="123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160"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2840"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olor w:val="000000"/>
                <w:sz w:val="18"/>
                <w:szCs w:val="18"/>
                <w:highlight w:val="none"/>
              </w:rPr>
            </w:pPr>
            <w:r>
              <w:rPr>
                <w:rFonts w:ascii="宋体" w:hAnsi="宋体"/>
                <w:color w:val="000000"/>
                <w:sz w:val="18"/>
                <w:szCs w:val="18"/>
                <w:highlight w:val="none"/>
              </w:rPr>
              <w:t>已含在分部分项工程综合单价中，仅单独列项，不再重复计入总价，</w:t>
            </w:r>
          </w:p>
        </w:tc>
      </w:tr>
      <w:tr>
        <w:tblPrEx>
          <w:tblCellMar>
            <w:top w:w="0" w:type="dxa"/>
            <w:left w:w="108" w:type="dxa"/>
            <w:bottom w:w="0" w:type="dxa"/>
            <w:right w:w="108" w:type="dxa"/>
          </w:tblCellMar>
        </w:tblPrEx>
        <w:trPr>
          <w:trHeight w:val="1071" w:hRule="atLeast"/>
        </w:trPr>
        <w:tc>
          <w:tcPr>
            <w:tcW w:w="3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投标总报价</w:t>
            </w:r>
            <w:r>
              <w:rPr>
                <w:rFonts w:hint="eastAsia" w:ascii="宋体" w:hAnsi="宋体"/>
                <w:sz w:val="18"/>
                <w:szCs w:val="18"/>
                <w:highlight w:val="none"/>
                <w:lang w:eastAsia="zh-CN"/>
              </w:rPr>
              <w:t>（</w:t>
            </w:r>
            <w:r>
              <w:rPr>
                <w:rFonts w:hint="eastAsia" w:ascii="黑体" w:hAnsi="黑体" w:eastAsia="黑体" w:cs="黑体"/>
                <w:b w:val="0"/>
                <w:bCs/>
                <w:color w:val="000000"/>
                <w:sz w:val="18"/>
                <w:szCs w:val="18"/>
                <w:highlight w:val="none"/>
                <w:u w:val="none"/>
              </w:rPr>
              <w:t>总价包死价格</w:t>
            </w:r>
            <w:r>
              <w:rPr>
                <w:rFonts w:hint="eastAsia" w:ascii="黑体" w:hAnsi="黑体" w:eastAsia="黑体" w:cs="黑体"/>
                <w:b w:val="0"/>
                <w:bCs/>
                <w:color w:val="000000"/>
                <w:sz w:val="18"/>
                <w:szCs w:val="18"/>
                <w:highlight w:val="none"/>
                <w:u w:val="none"/>
                <w:lang w:eastAsia="zh-CN"/>
              </w:rPr>
              <w:t>）</w:t>
            </w:r>
            <w:r>
              <w:rPr>
                <w:rFonts w:ascii="宋体" w:hAnsi="宋体"/>
                <w:sz w:val="18"/>
                <w:szCs w:val="18"/>
                <w:highlight w:val="none"/>
              </w:rPr>
              <w:t>（大写）：</w:t>
            </w:r>
          </w:p>
        </w:tc>
        <w:tc>
          <w:tcPr>
            <w:tcW w:w="62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315" w:hRule="atLeast"/>
        </w:trPr>
        <w:tc>
          <w:tcPr>
            <w:tcW w:w="8117" w:type="dxa"/>
            <w:gridSpan w:val="7"/>
            <w:tcBorders>
              <w:top w:val="single" w:color="auto" w:sz="4" w:space="0"/>
              <w:left w:val="nil"/>
              <w:bottom w:val="nil"/>
              <w:right w:val="nil"/>
            </w:tcBorders>
            <w:shd w:val="clear" w:color="auto" w:fill="auto"/>
            <w:vAlign w:val="center"/>
          </w:tcPr>
          <w:p>
            <w:pPr>
              <w:jc w:val="center"/>
              <w:rPr>
                <w:rFonts w:ascii="宋体" w:hAnsi="宋体"/>
                <w:highlight w:val="none"/>
              </w:rPr>
            </w:pPr>
          </w:p>
          <w:p>
            <w:pPr>
              <w:jc w:val="left"/>
              <w:rPr>
                <w:rFonts w:ascii="宋体" w:hAnsi="宋体"/>
                <w:highlight w:val="none"/>
              </w:rPr>
            </w:pPr>
            <w:r>
              <w:rPr>
                <w:rFonts w:ascii="宋体" w:hAnsi="宋体"/>
                <w:highlight w:val="none"/>
              </w:rPr>
              <w:t>投标人：</w:t>
            </w:r>
            <w:r>
              <w:rPr>
                <w:rFonts w:hint="eastAsia" w:ascii="宋体" w:hAnsi="宋体"/>
                <w:highlight w:val="none"/>
                <w:u w:val="single"/>
              </w:rPr>
              <w:t xml:space="preserve">                            </w:t>
            </w:r>
            <w:r>
              <w:rPr>
                <w:rFonts w:ascii="宋体" w:hAnsi="宋体"/>
                <w:highlight w:val="none"/>
              </w:rPr>
              <w:t>（全称、盖章）</w:t>
            </w:r>
          </w:p>
        </w:tc>
        <w:tc>
          <w:tcPr>
            <w:tcW w:w="1170" w:type="dxa"/>
            <w:tcBorders>
              <w:top w:val="single" w:color="auto" w:sz="4" w:space="0"/>
              <w:left w:val="nil"/>
              <w:bottom w:val="nil"/>
              <w:right w:val="nil"/>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gridAfter w:val="3"/>
          <w:wAfter w:w="4075" w:type="dxa"/>
          <w:trHeight w:val="315" w:hRule="atLeast"/>
        </w:trPr>
        <w:tc>
          <w:tcPr>
            <w:tcW w:w="5212" w:type="dxa"/>
            <w:gridSpan w:val="5"/>
            <w:tcBorders>
              <w:top w:val="nil"/>
              <w:left w:val="nil"/>
              <w:bottom w:val="nil"/>
              <w:right w:val="nil"/>
            </w:tcBorders>
            <w:shd w:val="clear" w:color="auto" w:fill="auto"/>
            <w:vAlign w:val="center"/>
          </w:tcPr>
          <w:p>
            <w:pPr>
              <w:jc w:val="left"/>
              <w:rPr>
                <w:rFonts w:ascii="宋体" w:hAnsi="宋体"/>
                <w:highlight w:val="none"/>
              </w:rPr>
            </w:pPr>
            <w:r>
              <w:rPr>
                <w:rFonts w:ascii="宋体" w:hAnsi="宋体"/>
                <w:highlight w:val="none"/>
              </w:rPr>
              <w:t>法定代表人或委托代理人：</w:t>
            </w:r>
            <w:r>
              <w:rPr>
                <w:rFonts w:hint="eastAsia" w:ascii="宋体" w:hAnsi="宋体"/>
                <w:highlight w:val="none"/>
                <w:u w:val="single"/>
              </w:rPr>
              <w:t xml:space="preserve">             </w:t>
            </w:r>
            <w:r>
              <w:rPr>
                <w:rFonts w:ascii="宋体" w:hAnsi="宋体"/>
                <w:highlight w:val="none"/>
              </w:rPr>
              <w:t>(姓名、签字)</w:t>
            </w:r>
          </w:p>
        </w:tc>
      </w:tr>
      <w:tr>
        <w:tblPrEx>
          <w:tblCellMar>
            <w:top w:w="0" w:type="dxa"/>
            <w:left w:w="108" w:type="dxa"/>
            <w:bottom w:w="0" w:type="dxa"/>
            <w:right w:w="108" w:type="dxa"/>
          </w:tblCellMar>
        </w:tblPrEx>
        <w:trPr>
          <w:gridAfter w:val="5"/>
          <w:wAfter w:w="5464" w:type="dxa"/>
          <w:trHeight w:val="315" w:hRule="atLeast"/>
        </w:trPr>
        <w:tc>
          <w:tcPr>
            <w:tcW w:w="3823" w:type="dxa"/>
            <w:gridSpan w:val="3"/>
            <w:tcBorders>
              <w:top w:val="nil"/>
              <w:left w:val="nil"/>
              <w:bottom w:val="nil"/>
              <w:right w:val="nil"/>
            </w:tcBorders>
            <w:shd w:val="clear" w:color="auto" w:fill="auto"/>
            <w:vAlign w:val="center"/>
          </w:tcPr>
          <w:p>
            <w:pPr>
              <w:jc w:val="left"/>
              <w:rPr>
                <w:rFonts w:ascii="宋体" w:hAnsi="宋体"/>
                <w:highlight w:val="none"/>
              </w:rPr>
            </w:pPr>
            <w:r>
              <w:rPr>
                <w:rFonts w:ascii="宋体" w:hAnsi="宋体"/>
                <w:highlight w:val="none"/>
              </w:rPr>
              <w:t>日期：</w:t>
            </w:r>
            <w:r>
              <w:rPr>
                <w:rFonts w:hint="eastAsia" w:ascii="宋体" w:hAnsi="宋体"/>
                <w:szCs w:val="21"/>
                <w:highlight w:val="none"/>
                <w:u w:val="single"/>
              </w:rPr>
              <w:t xml:space="preserve">      </w:t>
            </w:r>
            <w:r>
              <w:rPr>
                <w:rFonts w:ascii="宋体" w:hAnsi="宋体"/>
                <w:highlight w:val="none"/>
              </w:rPr>
              <w:t>年</w:t>
            </w:r>
            <w:r>
              <w:rPr>
                <w:rFonts w:hint="eastAsia" w:ascii="宋体" w:hAnsi="宋体"/>
                <w:szCs w:val="21"/>
                <w:highlight w:val="none"/>
                <w:u w:val="single"/>
              </w:rPr>
              <w:t xml:space="preserve">   </w:t>
            </w:r>
            <w:r>
              <w:rPr>
                <w:rFonts w:ascii="宋体" w:hAnsi="宋体"/>
                <w:highlight w:val="none"/>
              </w:rPr>
              <w:t>月</w:t>
            </w:r>
            <w:r>
              <w:rPr>
                <w:rFonts w:hint="eastAsia" w:ascii="宋体" w:hAnsi="宋体"/>
                <w:szCs w:val="21"/>
                <w:highlight w:val="none"/>
                <w:u w:val="single"/>
              </w:rPr>
              <w:t xml:space="preserve">   </w:t>
            </w:r>
            <w:r>
              <w:rPr>
                <w:rFonts w:ascii="宋体" w:hAnsi="宋体"/>
                <w:highlight w:val="none"/>
              </w:rPr>
              <w:t>日</w:t>
            </w:r>
          </w:p>
        </w:tc>
      </w:tr>
    </w:tbl>
    <w:p>
      <w:pPr>
        <w:pStyle w:val="7"/>
        <w:rPr>
          <w:highlight w:val="none"/>
        </w:rPr>
      </w:pPr>
      <w:r>
        <w:rPr>
          <w:spacing w:val="10"/>
          <w:highlight w:val="none"/>
        </w:rPr>
        <w:br w:type="page"/>
      </w:r>
      <w:bookmarkStart w:id="139" w:name="_Toc5109"/>
      <w:bookmarkStart w:id="140" w:name="_Toc526774686"/>
      <w:r>
        <w:rPr>
          <w:highlight w:val="none"/>
        </w:rPr>
        <w:t>表3：安装工程报价汇总表</w:t>
      </w:r>
      <w:bookmarkEnd w:id="139"/>
      <w:bookmarkEnd w:id="140"/>
    </w:p>
    <w:p>
      <w:pPr>
        <w:spacing w:line="360" w:lineRule="exact"/>
        <w:ind w:firstLine="600"/>
        <w:jc w:val="center"/>
        <w:rPr>
          <w:rFonts w:ascii="宋体" w:hAnsi="宋体"/>
          <w:bCs/>
          <w:spacing w:val="10"/>
          <w:sz w:val="28"/>
          <w:szCs w:val="28"/>
          <w:highlight w:val="none"/>
        </w:rPr>
      </w:pPr>
      <w:r>
        <w:rPr>
          <w:rFonts w:ascii="宋体" w:hAnsi="宋体"/>
          <w:bCs/>
          <w:spacing w:val="10"/>
          <w:sz w:val="28"/>
          <w:szCs w:val="28"/>
          <w:highlight w:val="none"/>
        </w:rPr>
        <w:t>安装工程报价汇总表</w:t>
      </w:r>
    </w:p>
    <w:tbl>
      <w:tblPr>
        <w:tblStyle w:val="50"/>
        <w:tblW w:w="9287" w:type="dxa"/>
        <w:jc w:val="center"/>
        <w:tblLayout w:type="fixed"/>
        <w:tblCellMar>
          <w:top w:w="0" w:type="dxa"/>
          <w:left w:w="108" w:type="dxa"/>
          <w:bottom w:w="0" w:type="dxa"/>
          <w:right w:w="108" w:type="dxa"/>
        </w:tblCellMar>
      </w:tblPr>
      <w:tblGrid>
        <w:gridCol w:w="909"/>
        <w:gridCol w:w="2320"/>
        <w:gridCol w:w="1393"/>
        <w:gridCol w:w="410"/>
        <w:gridCol w:w="520"/>
        <w:gridCol w:w="234"/>
        <w:gridCol w:w="379"/>
        <w:gridCol w:w="366"/>
        <w:gridCol w:w="275"/>
        <w:gridCol w:w="1133"/>
        <w:gridCol w:w="1348"/>
      </w:tblGrid>
      <w:tr>
        <w:tblPrEx>
          <w:tblCellMar>
            <w:top w:w="0" w:type="dxa"/>
            <w:left w:w="108" w:type="dxa"/>
            <w:bottom w:w="0" w:type="dxa"/>
            <w:right w:w="108" w:type="dxa"/>
          </w:tblCellMar>
        </w:tblPrEx>
        <w:trPr>
          <w:trHeight w:val="404" w:hRule="atLeast"/>
          <w:jc w:val="center"/>
        </w:trPr>
        <w:tc>
          <w:tcPr>
            <w:tcW w:w="3229" w:type="dxa"/>
            <w:gridSpan w:val="2"/>
            <w:tcBorders>
              <w:top w:val="nil"/>
              <w:left w:val="nil"/>
              <w:bottom w:val="single" w:color="auto" w:sz="4" w:space="0"/>
              <w:right w:val="nil"/>
            </w:tcBorders>
            <w:shd w:val="clear" w:color="auto" w:fill="auto"/>
            <w:vAlign w:val="center"/>
          </w:tcPr>
          <w:p>
            <w:pPr>
              <w:jc w:val="left"/>
              <w:rPr>
                <w:rFonts w:ascii="宋体" w:hAnsi="宋体"/>
                <w:szCs w:val="21"/>
                <w:highlight w:val="none"/>
              </w:rPr>
            </w:pPr>
            <w:r>
              <w:rPr>
                <w:rFonts w:ascii="宋体" w:hAnsi="宋体"/>
                <w:szCs w:val="21"/>
                <w:highlight w:val="none"/>
              </w:rPr>
              <w:t>名称：</w:t>
            </w:r>
          </w:p>
        </w:tc>
        <w:tc>
          <w:tcPr>
            <w:tcW w:w="2936" w:type="dxa"/>
            <w:gridSpan w:val="5"/>
            <w:tcBorders>
              <w:top w:val="nil"/>
              <w:left w:val="nil"/>
              <w:bottom w:val="nil"/>
              <w:right w:val="nil"/>
            </w:tcBorders>
            <w:shd w:val="clear" w:color="auto" w:fill="auto"/>
            <w:vAlign w:val="center"/>
          </w:tcPr>
          <w:p>
            <w:pPr>
              <w:ind w:firstLine="420"/>
              <w:jc w:val="center"/>
              <w:rPr>
                <w:rFonts w:ascii="宋体" w:hAnsi="宋体"/>
                <w:szCs w:val="21"/>
                <w:highlight w:val="none"/>
              </w:rPr>
            </w:pPr>
          </w:p>
        </w:tc>
        <w:tc>
          <w:tcPr>
            <w:tcW w:w="366" w:type="dxa"/>
            <w:tcBorders>
              <w:top w:val="nil"/>
              <w:left w:val="nil"/>
              <w:bottom w:val="nil"/>
              <w:right w:val="nil"/>
            </w:tcBorders>
            <w:shd w:val="clear" w:color="auto" w:fill="auto"/>
            <w:vAlign w:val="center"/>
          </w:tcPr>
          <w:p>
            <w:pPr>
              <w:ind w:firstLine="420"/>
              <w:jc w:val="center"/>
              <w:rPr>
                <w:rFonts w:ascii="宋体" w:hAnsi="宋体"/>
                <w:szCs w:val="21"/>
                <w:highlight w:val="none"/>
              </w:rPr>
            </w:pPr>
          </w:p>
        </w:tc>
        <w:tc>
          <w:tcPr>
            <w:tcW w:w="275" w:type="dxa"/>
            <w:tcBorders>
              <w:top w:val="nil"/>
              <w:left w:val="nil"/>
              <w:bottom w:val="nil"/>
              <w:right w:val="nil"/>
            </w:tcBorders>
            <w:shd w:val="clear" w:color="auto" w:fill="auto"/>
            <w:vAlign w:val="center"/>
          </w:tcPr>
          <w:p>
            <w:pPr>
              <w:ind w:firstLine="420"/>
              <w:jc w:val="right"/>
              <w:rPr>
                <w:rFonts w:ascii="宋体" w:hAnsi="宋体"/>
                <w:szCs w:val="21"/>
                <w:highlight w:val="none"/>
              </w:rPr>
            </w:pPr>
          </w:p>
        </w:tc>
        <w:tc>
          <w:tcPr>
            <w:tcW w:w="1133" w:type="dxa"/>
            <w:tcBorders>
              <w:top w:val="nil"/>
              <w:left w:val="nil"/>
              <w:bottom w:val="nil"/>
              <w:right w:val="nil"/>
            </w:tcBorders>
            <w:shd w:val="clear" w:color="auto" w:fill="auto"/>
            <w:vAlign w:val="center"/>
          </w:tcPr>
          <w:p>
            <w:pPr>
              <w:ind w:firstLine="420"/>
              <w:jc w:val="center"/>
              <w:rPr>
                <w:rFonts w:ascii="宋体" w:hAnsi="宋体"/>
                <w:szCs w:val="21"/>
                <w:highlight w:val="none"/>
              </w:rPr>
            </w:pPr>
          </w:p>
        </w:tc>
        <w:tc>
          <w:tcPr>
            <w:tcW w:w="1348" w:type="dxa"/>
            <w:tcBorders>
              <w:top w:val="nil"/>
              <w:left w:val="nil"/>
              <w:bottom w:val="nil"/>
              <w:right w:val="nil"/>
            </w:tcBorders>
            <w:shd w:val="clear" w:color="auto" w:fill="auto"/>
            <w:vAlign w:val="center"/>
          </w:tcPr>
          <w:p>
            <w:pPr>
              <w:rPr>
                <w:rFonts w:ascii="宋体" w:hAnsi="宋体"/>
                <w:szCs w:val="21"/>
                <w:highlight w:val="none"/>
              </w:rPr>
            </w:pPr>
            <w:r>
              <w:rPr>
                <w:rFonts w:ascii="宋体" w:hAnsi="宋体"/>
                <w:szCs w:val="21"/>
                <w:highlight w:val="none"/>
              </w:rPr>
              <w:t>金额单位：元</w:t>
            </w:r>
          </w:p>
        </w:tc>
      </w:tr>
      <w:tr>
        <w:tblPrEx>
          <w:tblCellMar>
            <w:top w:w="0" w:type="dxa"/>
            <w:left w:w="108" w:type="dxa"/>
            <w:bottom w:w="0" w:type="dxa"/>
            <w:right w:w="108" w:type="dxa"/>
          </w:tblCellMar>
        </w:tblPrEx>
        <w:trPr>
          <w:trHeight w:val="404" w:hRule="atLeast"/>
          <w:jc w:val="center"/>
        </w:trPr>
        <w:tc>
          <w:tcPr>
            <w:tcW w:w="90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序号</w:t>
            </w:r>
          </w:p>
        </w:tc>
        <w:tc>
          <w:tcPr>
            <w:tcW w:w="2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项目名称</w:t>
            </w:r>
          </w:p>
        </w:tc>
        <w:tc>
          <w:tcPr>
            <w:tcW w:w="3577"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安装工程费</w:t>
            </w:r>
          </w:p>
        </w:tc>
        <w:tc>
          <w:tcPr>
            <w:tcW w:w="1133" w:type="dxa"/>
            <w:vMerge w:val="restart"/>
            <w:tcBorders>
              <w:top w:val="single" w:color="auto" w:sz="4" w:space="0"/>
              <w:left w:val="nil"/>
              <w:bottom w:val="single" w:color="000000"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其中：暂估价（如有，必须填写）</w:t>
            </w: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备注</w:t>
            </w:r>
          </w:p>
        </w:tc>
      </w:tr>
      <w:tr>
        <w:tblPrEx>
          <w:tblCellMar>
            <w:top w:w="0" w:type="dxa"/>
            <w:left w:w="108" w:type="dxa"/>
            <w:bottom w:w="0" w:type="dxa"/>
            <w:right w:w="108" w:type="dxa"/>
          </w:tblCellMar>
        </w:tblPrEx>
        <w:trPr>
          <w:trHeight w:val="404" w:hRule="atLeast"/>
          <w:jc w:val="center"/>
        </w:trPr>
        <w:tc>
          <w:tcPr>
            <w:tcW w:w="909" w:type="dxa"/>
            <w:vMerge w:val="continue"/>
            <w:tcBorders>
              <w:top w:val="nil"/>
              <w:left w:val="single" w:color="auto" w:sz="4" w:space="0"/>
              <w:bottom w:val="single" w:color="auto" w:sz="4" w:space="0"/>
              <w:right w:val="single" w:color="auto" w:sz="4" w:space="0"/>
            </w:tcBorders>
            <w:vAlign w:val="center"/>
          </w:tcPr>
          <w:p>
            <w:pPr>
              <w:keepNext/>
              <w:keepLines/>
              <w:spacing w:before="340" w:after="330"/>
              <w:jc w:val="center"/>
              <w:outlineLvl w:val="0"/>
              <w:rPr>
                <w:rFonts w:ascii="宋体" w:hAnsi="宋体"/>
                <w:b/>
                <w:bCs/>
                <w:sz w:val="18"/>
                <w:szCs w:val="18"/>
                <w:highlight w:val="none"/>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jc w:val="center"/>
              <w:outlineLvl w:val="0"/>
              <w:rPr>
                <w:rFonts w:ascii="宋体" w:hAnsi="宋体"/>
                <w:b/>
                <w:bCs/>
                <w:sz w:val="18"/>
                <w:szCs w:val="18"/>
                <w:highlight w:val="none"/>
              </w:rPr>
            </w:pPr>
          </w:p>
        </w:tc>
        <w:tc>
          <w:tcPr>
            <w:tcW w:w="1393" w:type="dxa"/>
            <w:tcBorders>
              <w:top w:val="nil"/>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安装费</w:t>
            </w:r>
          </w:p>
        </w:tc>
        <w:tc>
          <w:tcPr>
            <w:tcW w:w="1164"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装置材料费</w:t>
            </w:r>
          </w:p>
        </w:tc>
        <w:tc>
          <w:tcPr>
            <w:tcW w:w="102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b/>
                <w:bCs/>
                <w:sz w:val="18"/>
                <w:szCs w:val="18"/>
                <w:highlight w:val="none"/>
              </w:rPr>
            </w:pPr>
            <w:r>
              <w:rPr>
                <w:rFonts w:ascii="宋体" w:hAnsi="宋体"/>
                <w:b/>
                <w:bCs/>
                <w:sz w:val="18"/>
                <w:szCs w:val="18"/>
                <w:highlight w:val="none"/>
              </w:rPr>
              <w:t>小计</w:t>
            </w:r>
          </w:p>
        </w:tc>
        <w:tc>
          <w:tcPr>
            <w:tcW w:w="1133" w:type="dxa"/>
            <w:vMerge w:val="continue"/>
            <w:tcBorders>
              <w:top w:val="single" w:color="auto" w:sz="4" w:space="0"/>
              <w:left w:val="nil"/>
              <w:bottom w:val="single" w:color="000000" w:sz="4" w:space="0"/>
              <w:right w:val="single" w:color="auto" w:sz="4" w:space="0"/>
            </w:tcBorders>
            <w:vAlign w:val="center"/>
          </w:tcPr>
          <w:p>
            <w:pPr>
              <w:keepNext/>
              <w:keepLines/>
              <w:spacing w:before="340" w:after="330"/>
              <w:jc w:val="center"/>
              <w:outlineLvl w:val="0"/>
              <w:rPr>
                <w:rFonts w:ascii="宋体" w:hAnsi="宋体"/>
                <w:b/>
                <w:bCs/>
                <w:sz w:val="18"/>
                <w:szCs w:val="18"/>
                <w:highlight w:val="none"/>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jc w:val="center"/>
              <w:outlineLvl w:val="0"/>
              <w:rPr>
                <w:rFonts w:ascii="宋体" w:hAnsi="宋体"/>
                <w:b/>
                <w:bCs/>
                <w:sz w:val="18"/>
                <w:szCs w:val="18"/>
                <w:highlight w:val="none"/>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一</w:t>
            </w:r>
          </w:p>
        </w:tc>
        <w:tc>
          <w:tcPr>
            <w:tcW w:w="2320"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安装工程</w:t>
            </w:r>
          </w:p>
        </w:tc>
        <w:tc>
          <w:tcPr>
            <w:tcW w:w="1393"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164"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02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348"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1</w:t>
            </w:r>
          </w:p>
        </w:tc>
        <w:tc>
          <w:tcPr>
            <w:tcW w:w="2320"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r>
              <w:rPr>
                <w:rFonts w:ascii="宋体" w:hAnsi="宋体"/>
                <w:sz w:val="18"/>
                <w:szCs w:val="18"/>
                <w:highlight w:val="none"/>
              </w:rPr>
              <w:t>变电站设备及安装工程</w:t>
            </w:r>
          </w:p>
        </w:tc>
        <w:tc>
          <w:tcPr>
            <w:tcW w:w="1393"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164"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02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c>
          <w:tcPr>
            <w:tcW w:w="1348" w:type="dxa"/>
            <w:tcBorders>
              <w:top w:val="nil"/>
              <w:left w:val="nil"/>
              <w:bottom w:val="single" w:color="auto" w:sz="4" w:space="0"/>
              <w:right w:val="single" w:color="auto" w:sz="4" w:space="0"/>
            </w:tcBorders>
            <w:shd w:val="clear" w:color="auto" w:fill="auto"/>
            <w:vAlign w:val="center"/>
          </w:tcPr>
          <w:p>
            <w:pPr>
              <w:jc w:val="center"/>
              <w:rPr>
                <w:rFonts w:ascii="宋体" w:hAnsi="宋体"/>
                <w:sz w:val="18"/>
                <w:szCs w:val="18"/>
                <w:highlight w:val="none"/>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r>
              <w:rPr>
                <w:rFonts w:ascii="宋体" w:hAnsi="宋体"/>
                <w:sz w:val="18"/>
                <w:szCs w:val="18"/>
                <w:highlight w:val="none"/>
              </w:rPr>
              <w:t>……</w:t>
            </w: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r>
      <w:tr>
        <w:tblPrEx>
          <w:tblCellMar>
            <w:top w:w="0" w:type="dxa"/>
            <w:left w:w="108" w:type="dxa"/>
            <w:bottom w:w="0" w:type="dxa"/>
            <w:right w:w="108" w:type="dxa"/>
          </w:tblCellMar>
        </w:tblPrEx>
        <w:trPr>
          <w:trHeight w:val="404" w:hRule="atLeast"/>
          <w:jc w:val="center"/>
        </w:trPr>
        <w:tc>
          <w:tcPr>
            <w:tcW w:w="909" w:type="dxa"/>
            <w:tcBorders>
              <w:top w:val="nil"/>
              <w:left w:val="single" w:color="auto" w:sz="4" w:space="0"/>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2320"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r>
              <w:rPr>
                <w:rFonts w:ascii="宋体" w:hAnsi="宋体"/>
                <w:sz w:val="18"/>
                <w:szCs w:val="18"/>
                <w:highlight w:val="none"/>
              </w:rPr>
              <w:t>合计（转入表2）</w:t>
            </w:r>
          </w:p>
        </w:tc>
        <w:tc>
          <w:tcPr>
            <w:tcW w:w="139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164"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none"/>
              </w:rPr>
            </w:pPr>
          </w:p>
        </w:tc>
        <w:tc>
          <w:tcPr>
            <w:tcW w:w="1020" w:type="dxa"/>
            <w:gridSpan w:val="3"/>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133"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c>
          <w:tcPr>
            <w:tcW w:w="1348" w:type="dxa"/>
            <w:tcBorders>
              <w:top w:val="nil"/>
              <w:left w:val="nil"/>
              <w:bottom w:val="single" w:color="auto" w:sz="4" w:space="0"/>
              <w:right w:val="single" w:color="auto" w:sz="4" w:space="0"/>
            </w:tcBorders>
            <w:shd w:val="clear" w:color="auto" w:fill="auto"/>
            <w:vAlign w:val="center"/>
          </w:tcPr>
          <w:p>
            <w:pPr>
              <w:ind w:firstLine="360"/>
              <w:jc w:val="center"/>
              <w:rPr>
                <w:rFonts w:ascii="宋体" w:hAnsi="宋体"/>
                <w:sz w:val="18"/>
                <w:szCs w:val="18"/>
                <w:highlight w:val="yellow"/>
              </w:rPr>
            </w:pPr>
          </w:p>
        </w:tc>
      </w:tr>
      <w:tr>
        <w:tblPrEx>
          <w:tblCellMar>
            <w:top w:w="0" w:type="dxa"/>
            <w:left w:w="108" w:type="dxa"/>
            <w:bottom w:w="0" w:type="dxa"/>
            <w:right w:w="108" w:type="dxa"/>
          </w:tblCellMar>
        </w:tblPrEx>
        <w:trPr>
          <w:trHeight w:val="271" w:hRule="atLeast"/>
          <w:jc w:val="center"/>
        </w:trPr>
        <w:tc>
          <w:tcPr>
            <w:tcW w:w="9287" w:type="dxa"/>
            <w:gridSpan w:val="11"/>
            <w:tcBorders>
              <w:top w:val="nil"/>
              <w:left w:val="nil"/>
              <w:bottom w:val="nil"/>
              <w:right w:val="nil"/>
            </w:tcBorders>
            <w:shd w:val="clear" w:color="auto" w:fill="auto"/>
            <w:vAlign w:val="center"/>
          </w:tcPr>
          <w:p>
            <w:pPr>
              <w:ind w:firstLine="420"/>
              <w:jc w:val="left"/>
              <w:rPr>
                <w:rFonts w:ascii="宋体" w:hAnsi="宋体"/>
                <w:szCs w:val="21"/>
                <w:highlight w:val="none"/>
              </w:rPr>
            </w:pPr>
          </w:p>
          <w:p>
            <w:pPr>
              <w:ind w:firstLine="420"/>
              <w:jc w:val="left"/>
              <w:rPr>
                <w:rFonts w:ascii="宋体" w:hAnsi="宋体"/>
                <w:highlight w:val="none"/>
              </w:rPr>
            </w:pPr>
            <w:r>
              <w:rPr>
                <w:rFonts w:ascii="宋体" w:hAnsi="宋体"/>
                <w:bCs/>
                <w:szCs w:val="21"/>
                <w:highlight w:val="none"/>
              </w:rPr>
              <w:t>注：本表为《电网工程建设预算编制与计算标准》二级项目。</w:t>
            </w:r>
          </w:p>
        </w:tc>
      </w:tr>
      <w:tr>
        <w:tblPrEx>
          <w:tblCellMar>
            <w:top w:w="0" w:type="dxa"/>
            <w:left w:w="108" w:type="dxa"/>
            <w:bottom w:w="0" w:type="dxa"/>
            <w:right w:w="108" w:type="dxa"/>
          </w:tblCellMar>
        </w:tblPrEx>
        <w:trPr>
          <w:gridAfter w:val="6"/>
          <w:wAfter w:w="3735" w:type="dxa"/>
          <w:trHeight w:val="332" w:hRule="atLeast"/>
          <w:jc w:val="center"/>
        </w:trPr>
        <w:tc>
          <w:tcPr>
            <w:tcW w:w="5552" w:type="dxa"/>
            <w:gridSpan w:val="5"/>
            <w:tcBorders>
              <w:top w:val="nil"/>
              <w:left w:val="nil"/>
              <w:bottom w:val="nil"/>
              <w:right w:val="nil"/>
            </w:tcBorders>
            <w:shd w:val="clear" w:color="auto" w:fill="auto"/>
            <w:vAlign w:val="center"/>
          </w:tcPr>
          <w:p>
            <w:pPr>
              <w:ind w:firstLine="420"/>
              <w:rPr>
                <w:rFonts w:ascii="宋体" w:hAnsi="宋体"/>
                <w:szCs w:val="21"/>
                <w:highlight w:val="none"/>
              </w:rPr>
            </w:pPr>
          </w:p>
          <w:p>
            <w:pPr>
              <w:ind w:firstLine="420"/>
              <w:rPr>
                <w:rFonts w:ascii="宋体" w:hAnsi="宋体"/>
                <w:szCs w:val="21"/>
                <w:highlight w:val="none"/>
              </w:rPr>
            </w:pPr>
            <w:r>
              <w:rPr>
                <w:rFonts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rPr>
              <w:t>（全称、盖章）</w:t>
            </w:r>
          </w:p>
        </w:tc>
      </w:tr>
      <w:tr>
        <w:tblPrEx>
          <w:tblCellMar>
            <w:top w:w="0" w:type="dxa"/>
            <w:left w:w="108" w:type="dxa"/>
            <w:bottom w:w="0" w:type="dxa"/>
            <w:right w:w="108" w:type="dxa"/>
          </w:tblCellMar>
        </w:tblPrEx>
        <w:trPr>
          <w:gridAfter w:val="6"/>
          <w:wAfter w:w="3735" w:type="dxa"/>
          <w:trHeight w:val="332" w:hRule="atLeast"/>
          <w:jc w:val="center"/>
        </w:trPr>
        <w:tc>
          <w:tcPr>
            <w:tcW w:w="5552" w:type="dxa"/>
            <w:gridSpan w:val="5"/>
            <w:tcBorders>
              <w:top w:val="nil"/>
              <w:left w:val="nil"/>
              <w:bottom w:val="nil"/>
              <w:right w:val="nil"/>
            </w:tcBorders>
            <w:shd w:val="clear" w:color="auto" w:fill="auto"/>
            <w:vAlign w:val="center"/>
          </w:tcPr>
          <w:p>
            <w:pPr>
              <w:ind w:firstLine="420"/>
              <w:rPr>
                <w:rFonts w:ascii="宋体" w:hAnsi="宋体"/>
                <w:szCs w:val="21"/>
                <w:highlight w:val="none"/>
              </w:rPr>
            </w:pPr>
            <w:r>
              <w:rPr>
                <w:rFonts w:ascii="宋体" w:hAnsi="宋体"/>
                <w:szCs w:val="21"/>
                <w:highlight w:val="none"/>
              </w:rPr>
              <w:t>法定代表人或委托代理人：</w:t>
            </w:r>
            <w:r>
              <w:rPr>
                <w:rFonts w:hint="eastAsia" w:ascii="宋体" w:hAnsi="宋体"/>
                <w:szCs w:val="21"/>
                <w:highlight w:val="none"/>
                <w:u w:val="single"/>
              </w:rPr>
              <w:t xml:space="preserve">         </w:t>
            </w:r>
            <w:r>
              <w:rPr>
                <w:rFonts w:ascii="宋体" w:hAnsi="宋体"/>
                <w:szCs w:val="21"/>
                <w:highlight w:val="none"/>
              </w:rPr>
              <w:t>(姓名、签字)</w:t>
            </w:r>
          </w:p>
        </w:tc>
      </w:tr>
      <w:tr>
        <w:tblPrEx>
          <w:tblCellMar>
            <w:top w:w="0" w:type="dxa"/>
            <w:left w:w="108" w:type="dxa"/>
            <w:bottom w:w="0" w:type="dxa"/>
            <w:right w:w="108" w:type="dxa"/>
          </w:tblCellMar>
        </w:tblPrEx>
        <w:trPr>
          <w:gridAfter w:val="7"/>
          <w:wAfter w:w="4255" w:type="dxa"/>
          <w:trHeight w:val="332" w:hRule="atLeast"/>
          <w:jc w:val="center"/>
        </w:trPr>
        <w:tc>
          <w:tcPr>
            <w:tcW w:w="5032" w:type="dxa"/>
            <w:gridSpan w:val="4"/>
            <w:tcBorders>
              <w:top w:val="nil"/>
              <w:left w:val="nil"/>
              <w:bottom w:val="nil"/>
              <w:right w:val="nil"/>
            </w:tcBorders>
            <w:shd w:val="clear" w:color="auto" w:fill="auto"/>
            <w:vAlign w:val="center"/>
          </w:tcPr>
          <w:p>
            <w:pPr>
              <w:ind w:right="630" w:firstLine="420"/>
              <w:rPr>
                <w:rFonts w:ascii="宋体" w:hAnsi="宋体"/>
                <w:szCs w:val="21"/>
                <w:highlight w:val="none"/>
              </w:rPr>
            </w:pPr>
            <w:r>
              <w:rPr>
                <w:rFonts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rPr>
              <w:t>日</w:t>
            </w:r>
          </w:p>
        </w:tc>
      </w:tr>
    </w:tbl>
    <w:p>
      <w:pPr>
        <w:pStyle w:val="146"/>
        <w:ind w:firstLine="760"/>
        <w:rPr>
          <w:rFonts w:ascii="宋体" w:cs="Times New Roman"/>
          <w:color w:val="auto"/>
          <w:spacing w:val="40"/>
          <w:sz w:val="30"/>
          <w:highlight w:val="yellow"/>
        </w:rPr>
      </w:pPr>
    </w:p>
    <w:p>
      <w:pPr>
        <w:pStyle w:val="146"/>
        <w:ind w:firstLine="460"/>
        <w:rPr>
          <w:rFonts w:ascii="宋体" w:cs="Times New Roman"/>
          <w:color w:val="auto"/>
          <w:highlight w:val="yellow"/>
        </w:rPr>
      </w:pPr>
    </w:p>
    <w:p>
      <w:pPr>
        <w:pStyle w:val="4"/>
        <w:numPr>
          <w:ilvl w:val="0"/>
          <w:numId w:val="0"/>
        </w:numPr>
        <w:topLinePunct/>
        <w:spacing w:before="0" w:beforeLines="0" w:beforeAutospacing="0" w:after="0" w:afterLines="0" w:afterAutospacing="0" w:line="480" w:lineRule="auto"/>
        <w:ind w:leftChars="0"/>
        <w:jc w:val="center"/>
        <w:rPr>
          <w:rFonts w:hint="default" w:ascii="Times New Roman" w:hAnsi="Times New Roman" w:eastAsia="黑体" w:cs="Times New Roman"/>
          <w:b w:val="0"/>
          <w:sz w:val="24"/>
          <w:szCs w:val="24"/>
          <w:highlight w:val="none"/>
          <w:lang w:bidi="ar-SA"/>
        </w:rPr>
      </w:pPr>
      <w:r>
        <w:rPr>
          <w:highlight w:val="yellow"/>
        </w:rPr>
        <w:br w:type="page"/>
      </w:r>
      <w:bookmarkStart w:id="141" w:name="_Toc390064074"/>
      <w:bookmarkStart w:id="142" w:name="_Toc389217460"/>
      <w:bookmarkStart w:id="143" w:name="_Toc389217077"/>
      <w:bookmarkStart w:id="144" w:name="_Toc386560760"/>
      <w:bookmarkStart w:id="145" w:name="_Toc386988059"/>
      <w:bookmarkStart w:id="146" w:name="_Toc389719177"/>
      <w:bookmarkStart w:id="147" w:name="_Toc390063953"/>
      <w:bookmarkStart w:id="148" w:name="_Toc387169444"/>
      <w:bookmarkStart w:id="149" w:name="_Toc259368823"/>
      <w:bookmarkStart w:id="150" w:name="_Toc28318"/>
      <w:bookmarkStart w:id="151" w:name="_Toc8410"/>
      <w:bookmarkStart w:id="152" w:name="_Toc296174702"/>
      <w:bookmarkStart w:id="153" w:name="_Toc4212"/>
      <w:bookmarkStart w:id="154" w:name="_Toc296174705"/>
      <w:bookmarkStart w:id="155" w:name="_Toc28580"/>
      <w:bookmarkStart w:id="156" w:name="_Toc3201"/>
      <w:bookmarkStart w:id="157" w:name="_Toc23943"/>
      <w:bookmarkStart w:id="158" w:name="_Toc25308"/>
      <w:bookmarkStart w:id="159" w:name="_Toc8867"/>
      <w:bookmarkStart w:id="160" w:name="_Toc296174703"/>
      <w:bookmarkStart w:id="161" w:name="_Toc296174708"/>
      <w:bookmarkStart w:id="162" w:name="_Toc31347"/>
      <w:bookmarkStart w:id="163" w:name="_Toc12679"/>
      <w:bookmarkStart w:id="164" w:name="_Toc259368827"/>
      <w:bookmarkStart w:id="165" w:name="_Toc257036249"/>
      <w:bookmarkStart w:id="166" w:name="_Toc25071"/>
      <w:bookmarkStart w:id="167" w:name="_Toc16972"/>
      <w:bookmarkStart w:id="168" w:name="_Toc259368831"/>
      <w:bookmarkStart w:id="169" w:name="_Toc16340"/>
      <w:bookmarkStart w:id="170" w:name="_Toc10415"/>
      <w:bookmarkStart w:id="171" w:name="_Toc256848322"/>
      <w:bookmarkStart w:id="172" w:name="_Toc19939"/>
      <w:bookmarkStart w:id="173" w:name="_Toc30644"/>
      <w:bookmarkStart w:id="174" w:name="_Toc19893"/>
      <w:bookmarkStart w:id="175" w:name="_Toc10324"/>
      <w:bookmarkStart w:id="176" w:name="_Toc240794025"/>
      <w:bookmarkStart w:id="177" w:name="_Toc240861114"/>
      <w:bookmarkStart w:id="178" w:name="_Toc277755416"/>
      <w:bookmarkStart w:id="179" w:name="_Toc267299869"/>
      <w:bookmarkStart w:id="180" w:name="_Toc269113000"/>
      <w:r>
        <w:rPr>
          <w:rFonts w:hint="default" w:ascii="Times New Roman" w:hAnsi="Times New Roman" w:eastAsia="黑体" w:cs="Times New Roman"/>
          <w:b w:val="0"/>
          <w:sz w:val="24"/>
          <w:szCs w:val="24"/>
          <w:highlight w:val="none"/>
          <w:lang w:bidi="ar-SA"/>
        </w:rPr>
        <w:t>工程技术规范书与图纸</w:t>
      </w:r>
      <w:bookmarkEnd w:id="141"/>
      <w:bookmarkEnd w:id="142"/>
      <w:bookmarkEnd w:id="143"/>
      <w:bookmarkEnd w:id="144"/>
      <w:bookmarkEnd w:id="145"/>
      <w:bookmarkEnd w:id="146"/>
      <w:bookmarkEnd w:id="147"/>
      <w:bookmarkEnd w:id="148"/>
    </w:p>
    <w:p>
      <w:pPr>
        <w:keepNext w:val="0"/>
        <w:keepLines w:val="0"/>
        <w:pageBreakBefore w:val="0"/>
        <w:widowControl/>
        <w:tabs>
          <w:tab w:val="left" w:pos="432"/>
          <w:tab w:val="left" w:pos="4480"/>
        </w:tabs>
        <w:kinsoku/>
        <w:wordWrap/>
        <w:overflowPunct/>
        <w:topLinePunct w:val="0"/>
        <w:autoSpaceDE/>
        <w:autoSpaceDN/>
        <w:bidi w:val="0"/>
        <w:adjustRightInd w:val="0"/>
        <w:snapToGrid w:val="0"/>
        <w:spacing w:before="0" w:beforeLines="0" w:beforeAutospacing="0" w:after="0" w:afterLines="0" w:afterAutospacing="0" w:line="460" w:lineRule="exact"/>
        <w:ind w:right="0"/>
        <w:jc w:val="both"/>
        <w:textAlignment w:val="auto"/>
        <w:outlineLvl w:val="0"/>
        <w:rPr>
          <w:rFonts w:hint="default" w:ascii="Times New Roman" w:hAnsi="Times New Roman" w:eastAsia="宋体" w:cs="Times New Roman"/>
          <w:b/>
          <w:color w:val="auto"/>
          <w:kern w:val="21"/>
          <w:sz w:val="24"/>
          <w:szCs w:val="24"/>
          <w:highlight w:val="none"/>
          <w:lang w:val="en-US" w:eastAsia="zh-CN"/>
        </w:rPr>
      </w:pPr>
      <w:bookmarkStart w:id="181" w:name="_Toc389719178"/>
      <w:bookmarkStart w:id="182" w:name="_Toc389217078"/>
      <w:bookmarkStart w:id="183" w:name="_Toc390063954"/>
      <w:bookmarkStart w:id="184" w:name="_Toc358881103"/>
      <w:bookmarkStart w:id="185" w:name="_Toc386988060"/>
      <w:bookmarkStart w:id="186" w:name="_Toc390064075"/>
      <w:bookmarkStart w:id="187" w:name="_Toc386560761"/>
      <w:bookmarkStart w:id="188" w:name="_Toc387169445"/>
      <w:r>
        <w:rPr>
          <w:rFonts w:hint="default" w:ascii="Times New Roman" w:hAnsi="Times New Roman" w:eastAsia="宋体" w:cs="Times New Roman"/>
          <w:b/>
          <w:color w:val="auto"/>
          <w:kern w:val="21"/>
          <w:sz w:val="24"/>
          <w:szCs w:val="24"/>
          <w:highlight w:val="none"/>
          <w:lang w:val="en-US" w:eastAsia="zh-CN"/>
        </w:rPr>
        <w:t>一、工程技术规范书</w:t>
      </w:r>
      <w:bookmarkEnd w:id="181"/>
      <w:bookmarkEnd w:id="182"/>
      <w:bookmarkEnd w:id="183"/>
      <w:bookmarkEnd w:id="184"/>
      <w:bookmarkEnd w:id="185"/>
      <w:bookmarkEnd w:id="186"/>
      <w:bookmarkEnd w:id="187"/>
      <w:bookmarkEnd w:id="188"/>
    </w:p>
    <w:p>
      <w:pPr>
        <w:keepNext w:val="0"/>
        <w:keepLines w:val="0"/>
        <w:pageBreakBefore w:val="0"/>
        <w:kinsoku/>
        <w:wordWrap/>
        <w:overflowPunct/>
        <w:topLinePunct w:val="0"/>
        <w:autoSpaceDE/>
        <w:autoSpaceDN/>
        <w:bidi w:val="0"/>
        <w:snapToGrid/>
        <w:spacing w:line="460" w:lineRule="exact"/>
        <w:ind w:firstLine="56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r>
        <w:rPr>
          <w:rFonts w:hint="default" w:ascii="Times New Roman" w:hAnsi="Times New Roman" w:eastAsia="宋体" w:cs="Times New Roman"/>
          <w:color w:val="auto"/>
          <w:sz w:val="24"/>
          <w:szCs w:val="24"/>
          <w:highlight w:val="none"/>
          <w:lang w:val="en-US" w:eastAsia="zh-CN"/>
        </w:rPr>
        <w:t>安阳岷山集团</w:t>
      </w:r>
      <w:r>
        <w:rPr>
          <w:rFonts w:hint="default" w:ascii="Times New Roman" w:hAnsi="Times New Roman" w:eastAsia="宋体" w:cs="Times New Roman"/>
          <w:color w:val="auto"/>
          <w:sz w:val="24"/>
          <w:szCs w:val="24"/>
          <w:highlight w:val="none"/>
        </w:rPr>
        <w:t>110</w:t>
      </w:r>
      <w:r>
        <w:rPr>
          <w:rFonts w:hint="default" w:ascii="Times New Roman" w:hAnsi="Times New Roman" w:eastAsia="宋体" w:cs="Times New Roman"/>
          <w:color w:val="auto"/>
          <w:sz w:val="24"/>
          <w:szCs w:val="24"/>
          <w:highlight w:val="none"/>
          <w:lang w:val="en-US" w:eastAsia="zh-CN"/>
        </w:rPr>
        <w:t>k</w:t>
      </w:r>
      <w:r>
        <w:rPr>
          <w:rFonts w:hint="default" w:ascii="Times New Roman" w:hAnsi="Times New Roman" w:eastAsia="宋体" w:cs="Times New Roman"/>
          <w:color w:val="auto"/>
          <w:sz w:val="24"/>
          <w:szCs w:val="24"/>
          <w:highlight w:val="none"/>
        </w:rPr>
        <w:t>V</w:t>
      </w:r>
      <w:r>
        <w:rPr>
          <w:rFonts w:hint="default" w:ascii="Times New Roman" w:hAnsi="Times New Roman" w:eastAsia="宋体" w:cs="Times New Roman"/>
          <w:color w:val="auto"/>
          <w:sz w:val="24"/>
          <w:szCs w:val="24"/>
          <w:highlight w:val="none"/>
          <w:lang w:eastAsia="zh-CN"/>
        </w:rPr>
        <w:t>青山</w:t>
      </w:r>
      <w:r>
        <w:rPr>
          <w:rFonts w:hint="default" w:ascii="Times New Roman" w:hAnsi="Times New Roman" w:eastAsia="宋体" w:cs="Times New Roman"/>
          <w:color w:val="auto"/>
          <w:sz w:val="24"/>
          <w:szCs w:val="24"/>
          <w:highlight w:val="none"/>
        </w:rPr>
        <w:t>变1#主变增容工程</w:t>
      </w:r>
    </w:p>
    <w:p>
      <w:pPr>
        <w:keepNext w:val="0"/>
        <w:keepLines w:val="0"/>
        <w:pageBreakBefore w:val="0"/>
        <w:widowControl/>
        <w:tabs>
          <w:tab w:val="left" w:pos="432"/>
          <w:tab w:val="left" w:pos="4480"/>
        </w:tabs>
        <w:kinsoku/>
        <w:wordWrap/>
        <w:overflowPunct/>
        <w:topLinePunct w:val="0"/>
        <w:autoSpaceDE/>
        <w:autoSpaceDN/>
        <w:bidi w:val="0"/>
        <w:adjustRightInd w:val="0"/>
        <w:snapToGrid w:val="0"/>
        <w:spacing w:before="0" w:beforeLines="0" w:beforeAutospacing="0" w:after="0" w:afterLines="0" w:afterAutospacing="0" w:line="460" w:lineRule="exact"/>
        <w:ind w:right="0"/>
        <w:jc w:val="both"/>
        <w:textAlignment w:val="auto"/>
        <w:outlineLvl w:val="0"/>
        <w:rPr>
          <w:rFonts w:hint="default" w:ascii="Times New Roman" w:hAnsi="Times New Roman" w:eastAsia="宋体" w:cs="Times New Roman"/>
          <w:b/>
          <w:color w:val="auto"/>
          <w:kern w:val="21"/>
          <w:sz w:val="24"/>
          <w:szCs w:val="24"/>
          <w:highlight w:val="none"/>
          <w:lang w:val="en-US" w:eastAsia="zh-CN"/>
        </w:rPr>
      </w:pPr>
      <w:bookmarkStart w:id="189" w:name="_Toc8512"/>
      <w:r>
        <w:rPr>
          <w:rFonts w:hint="default" w:ascii="Times New Roman" w:hAnsi="Times New Roman" w:eastAsia="宋体" w:cs="Times New Roman"/>
          <w:b/>
          <w:color w:val="auto"/>
          <w:kern w:val="21"/>
          <w:sz w:val="24"/>
          <w:szCs w:val="24"/>
          <w:highlight w:val="none"/>
          <w:lang w:val="en-US" w:eastAsia="zh-CN"/>
        </w:rPr>
        <w:t>1  总的部分</w:t>
      </w:r>
      <w:bookmarkEnd w:id="189"/>
    </w:p>
    <w:bookmarkEnd w:id="149"/>
    <w:bookmarkEnd w:id="150"/>
    <w:bookmarkEnd w:id="151"/>
    <w:bookmarkEnd w:id="152"/>
    <w:bookmarkEnd w:id="153"/>
    <w:bookmarkEnd w:id="154"/>
    <w:bookmarkEnd w:id="155"/>
    <w:bookmarkEnd w:id="156"/>
    <w:bookmarkEnd w:id="157"/>
    <w:bookmarkEnd w:id="158"/>
    <w:bookmarkEnd w:id="159"/>
    <w:p>
      <w:pPr>
        <w:keepNext w:val="0"/>
        <w:keepLines w:val="0"/>
        <w:pageBreakBefore w:val="0"/>
        <w:widowControl/>
        <w:tabs>
          <w:tab w:val="left" w:pos="360"/>
          <w:tab w:val="left" w:pos="540"/>
          <w:tab w:val="left" w:pos="567"/>
          <w:tab w:val="left" w:pos="897"/>
          <w:tab w:val="left" w:pos="4480"/>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190" w:name="_Toc296606651"/>
      <w:bookmarkStart w:id="191" w:name="_Toc4000"/>
      <w:r>
        <w:rPr>
          <w:rFonts w:hint="default" w:ascii="Times New Roman" w:hAnsi="Times New Roman" w:cs="Times New Roman"/>
          <w:color w:val="auto"/>
          <w:kern w:val="21"/>
          <w:sz w:val="24"/>
          <w:szCs w:val="24"/>
          <w:highlight w:val="none"/>
        </w:rPr>
        <w:t>1.1  概述</w:t>
      </w:r>
      <w:bookmarkEnd w:id="190"/>
      <w:bookmarkEnd w:id="191"/>
    </w:p>
    <w:p>
      <w:pPr>
        <w:keepNext w:val="0"/>
        <w:keepLines w:val="0"/>
        <w:pageBreakBefore w:val="0"/>
        <w:tabs>
          <w:tab w:val="left" w:pos="4480"/>
        </w:tabs>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1.1.1  设计依据</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安全市场部提交的设计任务单</w:t>
      </w:r>
    </w:p>
    <w:p>
      <w:pPr>
        <w:keepNext w:val="0"/>
        <w:keepLines w:val="0"/>
        <w:pageBreakBefore w:val="0"/>
        <w:widowControl/>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《河南电网发展技术及装备原则》</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eastAsia="zh-CN"/>
        </w:rPr>
        <w:t>《变电站总布置设计技术规程》DL/T 5056-2007</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eastAsia="zh-CN"/>
        </w:rPr>
        <w:t>《火力发电厂与变电站设计防火标准》（GB 50229-2019）</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《变电站总布置设计技术规程》DL/T 5056-2007</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《电力系统同步数字系列（SDH）光缆通信工程设计技术规定》（DL/T 5404-2007)</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其它相关规程、规定</w:t>
      </w:r>
    </w:p>
    <w:p>
      <w:pPr>
        <w:keepNext w:val="0"/>
        <w:keepLines w:val="0"/>
        <w:pageBreakBefore w:val="0"/>
        <w:tabs>
          <w:tab w:val="left" w:pos="4480"/>
        </w:tabs>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1.1.2  工程建设规模</w:t>
      </w:r>
      <w:bookmarkEnd w:id="160"/>
      <w:r>
        <w:rPr>
          <w:rFonts w:hint="default" w:ascii="Times New Roman" w:hAnsi="Times New Roman" w:cs="Times New Roman"/>
          <w:snapToGrid w:val="0"/>
          <w:color w:val="auto"/>
          <w:kern w:val="21"/>
          <w:sz w:val="24"/>
          <w:szCs w:val="24"/>
          <w:highlight w:val="none"/>
        </w:rPr>
        <w:t>和设计范围</w:t>
      </w:r>
    </w:p>
    <w:p>
      <w:pPr>
        <w:keepNext w:val="0"/>
        <w:keepLines w:val="0"/>
        <w:pageBreakBefore w:val="0"/>
        <w:widowControl/>
        <w:kinsoku/>
        <w:wordWrap/>
        <w:overflowPunct/>
        <w:topLinePunct w:val="0"/>
        <w:autoSpaceDE/>
        <w:autoSpaceDN/>
        <w:bidi w:val="0"/>
        <w:snapToGrid/>
        <w:spacing w:line="460" w:lineRule="exact"/>
        <w:jc w:val="left"/>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1.1.2.1  工程建设规模</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 xml:space="preserve">     </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w:t>
      </w:r>
    </w:p>
    <w:p>
      <w:pPr>
        <w:keepNext w:val="0"/>
        <w:keepLines w:val="0"/>
        <w:pageBreakBefore w:val="0"/>
        <w:kinsoku/>
        <w:wordWrap/>
        <w:overflowPunct/>
        <w:topLinePunct w:val="0"/>
        <w:autoSpaceDE/>
        <w:autoSpaceDN/>
        <w:bidi w:val="0"/>
        <w:snapToGrid/>
        <w:spacing w:line="460" w:lineRule="exact"/>
        <w:ind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（1）主变规模</w:t>
      </w:r>
    </w:p>
    <w:p>
      <w:pPr>
        <w:keepNext w:val="0"/>
        <w:keepLines w:val="0"/>
        <w:pageBreakBefore w:val="0"/>
        <w:kinsoku/>
        <w:wordWrap/>
        <w:overflowPunct/>
        <w:topLinePunct w:val="0"/>
        <w:autoSpaceDE/>
        <w:autoSpaceDN/>
        <w:bidi w:val="0"/>
        <w:snapToGrid/>
        <w:spacing w:line="460" w:lineRule="exact"/>
        <w:ind w:firstLine="56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主变</w:t>
      </w:r>
      <w:r>
        <w:rPr>
          <w:rFonts w:hint="default" w:ascii="Times New Roman" w:hAnsi="Times New Roman" w:eastAsia="宋体" w:cs="Times New Roman"/>
          <w:color w:val="auto"/>
          <w:sz w:val="24"/>
          <w:szCs w:val="24"/>
          <w:highlight w:val="none"/>
          <w:lang w:val="en-US" w:eastAsia="zh-CN"/>
        </w:rPr>
        <w:t>规划</w:t>
      </w:r>
      <w:r>
        <w:rPr>
          <w:rFonts w:hint="default" w:ascii="Times New Roman" w:hAnsi="Times New Roman" w:eastAsia="宋体" w:cs="Times New Roman"/>
          <w:color w:val="auto"/>
          <w:sz w:val="24"/>
          <w:szCs w:val="24"/>
          <w:highlight w:val="none"/>
        </w:rPr>
        <w:t>容量分别为</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1</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变）和</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电压等级110/10kV</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已建</w:t>
      </w:r>
      <w:r>
        <w:rPr>
          <w:rFonts w:hint="default" w:ascii="Times New Roman" w:hAnsi="Times New Roman" w:eastAsia="宋体" w:cs="Times New Roman"/>
          <w:color w:val="auto"/>
          <w:sz w:val="24"/>
          <w:szCs w:val="24"/>
          <w:highlight w:val="none"/>
        </w:rPr>
        <w:t>主变容量分别为</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1</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变）和</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电压等级110/10kV</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本期1#</w:t>
      </w:r>
      <w:r>
        <w:rPr>
          <w:rFonts w:hint="default" w:ascii="Times New Roman" w:hAnsi="Times New Roman" w:eastAsia="宋体" w:cs="Times New Roman"/>
          <w:color w:val="auto"/>
          <w:sz w:val="24"/>
          <w:szCs w:val="24"/>
          <w:highlight w:val="none"/>
        </w:rPr>
        <w:t>主变</w:t>
      </w:r>
      <w:r>
        <w:rPr>
          <w:rFonts w:hint="default" w:ascii="Times New Roman" w:hAnsi="Times New Roman" w:eastAsia="宋体" w:cs="Times New Roman"/>
          <w:color w:val="auto"/>
          <w:sz w:val="24"/>
          <w:szCs w:val="24"/>
          <w:highlight w:val="none"/>
          <w:lang w:val="en-US" w:eastAsia="zh-CN"/>
        </w:rPr>
        <w:t>更换为40</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电压等级110/10kV</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autoSpaceDE/>
        <w:autoSpaceDN/>
        <w:bidi w:val="0"/>
        <w:snapToGrid/>
        <w:spacing w:line="460" w:lineRule="exact"/>
        <w:ind w:firstLineChars="20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snapToGrid w:val="0"/>
          <w:color w:val="auto"/>
          <w:kern w:val="21"/>
          <w:sz w:val="24"/>
          <w:szCs w:val="24"/>
          <w:highlight w:val="none"/>
        </w:rPr>
        <w:t>（2）出线规模</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lang w:val="en-US" w:eastAsia="zh-CN"/>
        </w:rPr>
      </w:pPr>
      <w:r>
        <w:rPr>
          <w:rFonts w:hint="default" w:ascii="Times New Roman" w:hAnsi="Times New Roman" w:eastAsia="宋体" w:cs="Times New Roman"/>
          <w:color w:val="auto"/>
          <w:sz w:val="24"/>
          <w:szCs w:val="24"/>
          <w:highlight w:val="none"/>
        </w:rPr>
        <w:t>10kV出线：规划出线</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0回，已建出线</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回</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本期</w:t>
      </w:r>
      <w:r>
        <w:rPr>
          <w:rFonts w:hint="eastAsia" w:cs="Times New Roman"/>
          <w:color w:val="auto"/>
          <w:sz w:val="24"/>
          <w:szCs w:val="24"/>
          <w:highlight w:val="none"/>
          <w:lang w:val="en-US" w:eastAsia="zh-CN"/>
        </w:rPr>
        <w:t>增加配电柜1#主变进线柜，电容器柜，消弧线圈柜，两台出线柜，备用柜4台。分南北排列，共计10台。其中1#主变进线柜，两台出线柜必须在北侧。</w:t>
      </w:r>
      <w:r>
        <w:rPr>
          <w:rFonts w:hint="default" w:ascii="Times New Roman" w:hAnsi="Times New Roman" w:eastAsia="宋体" w:cs="Times New Roman"/>
          <w:color w:val="auto"/>
          <w:sz w:val="24"/>
          <w:szCs w:val="24"/>
          <w:highlight w:val="none"/>
          <w:lang w:val="en-US" w:eastAsia="zh-CN"/>
        </w:rPr>
        <w:t>10kV东母南北跨桥</w:t>
      </w:r>
      <w:r>
        <w:rPr>
          <w:rFonts w:hint="eastAsia" w:cs="Times New Roman"/>
          <w:color w:val="auto"/>
          <w:sz w:val="24"/>
          <w:szCs w:val="24"/>
          <w:highlight w:val="none"/>
          <w:lang w:val="en-US" w:eastAsia="zh-CN"/>
        </w:rPr>
        <w:t>向东移位</w:t>
      </w:r>
      <w:r>
        <w:rPr>
          <w:rFonts w:hint="default" w:ascii="Times New Roman" w:hAnsi="Times New Roman" w:eastAsia="宋体" w:cs="Times New Roman"/>
          <w:color w:val="auto"/>
          <w:sz w:val="24"/>
          <w:szCs w:val="24"/>
          <w:highlight w:val="none"/>
          <w:lang w:val="en-US" w:eastAsia="zh-CN"/>
        </w:rPr>
        <w:t>。</w:t>
      </w:r>
      <w:bookmarkStart w:id="321" w:name="_GoBack"/>
      <w:bookmarkEnd w:id="321"/>
    </w:p>
    <w:p>
      <w:pPr>
        <w:keepNext w:val="0"/>
        <w:keepLines w:val="0"/>
        <w:pageBreakBefore w:val="0"/>
        <w:kinsoku/>
        <w:wordWrap/>
        <w:overflowPunct/>
        <w:topLinePunct w:val="0"/>
        <w:autoSpaceDE/>
        <w:autoSpaceDN/>
        <w:bidi w:val="0"/>
        <w:snapToGrid/>
        <w:spacing w:line="460" w:lineRule="exact"/>
        <w:ind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（3）电气主接线</w:t>
      </w:r>
    </w:p>
    <w:p>
      <w:pPr>
        <w:keepNext w:val="0"/>
        <w:keepLines w:val="0"/>
        <w:pageBreakBefore w:val="0"/>
        <w:kinsoku/>
        <w:wordWrap/>
        <w:overflowPunct/>
        <w:topLinePunct w:val="0"/>
        <w:autoSpaceDE/>
        <w:autoSpaceDN/>
        <w:bidi w:val="0"/>
        <w:snapToGrid/>
        <w:spacing w:line="460" w:lineRule="exact"/>
        <w:jc w:val="left"/>
        <w:textAlignment w:val="baseline"/>
        <w:rPr>
          <w:rFonts w:hint="default" w:ascii="Times New Roman" w:hAnsi="Times New Roman" w:eastAsia="宋体" w:cs="Times New Roman"/>
          <w:color w:val="auto"/>
          <w:sz w:val="24"/>
          <w:szCs w:val="24"/>
          <w:highlight w:val="none"/>
          <w:lang w:val="en-US"/>
        </w:rPr>
      </w:pP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110kV规划采用</w:t>
      </w:r>
      <w:r>
        <w:rPr>
          <w:rFonts w:hint="default" w:ascii="Times New Roman" w:hAnsi="Times New Roman" w:eastAsia="宋体" w:cs="Times New Roman"/>
          <w:color w:val="auto"/>
          <w:sz w:val="24"/>
          <w:szCs w:val="24"/>
          <w:highlight w:val="none"/>
          <w:lang w:val="en-US" w:eastAsia="zh-CN"/>
        </w:rPr>
        <w:t>单母线</w:t>
      </w:r>
      <w:r>
        <w:rPr>
          <w:rFonts w:hint="default" w:ascii="Times New Roman" w:hAnsi="Times New Roman" w:eastAsia="宋体" w:cs="Times New Roman"/>
          <w:color w:val="auto"/>
          <w:sz w:val="24"/>
          <w:szCs w:val="24"/>
          <w:highlight w:val="none"/>
        </w:rPr>
        <w:t>接线，已建</w:t>
      </w:r>
      <w:r>
        <w:rPr>
          <w:rFonts w:hint="default" w:ascii="Times New Roman" w:hAnsi="Times New Roman" w:eastAsia="宋体" w:cs="Times New Roman"/>
          <w:color w:val="auto"/>
          <w:sz w:val="24"/>
          <w:szCs w:val="24"/>
          <w:highlight w:val="none"/>
          <w:lang w:val="en-US" w:eastAsia="zh-CN"/>
        </w:rPr>
        <w:t>单母线</w:t>
      </w:r>
      <w:r>
        <w:rPr>
          <w:rFonts w:hint="default" w:ascii="Times New Roman" w:hAnsi="Times New Roman" w:eastAsia="宋体" w:cs="Times New Roman"/>
          <w:color w:val="auto"/>
          <w:sz w:val="24"/>
          <w:szCs w:val="24"/>
          <w:highlight w:val="none"/>
        </w:rPr>
        <w:t>接线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户外屋外软母线普通中型布置，</w:t>
      </w:r>
      <w:r>
        <w:rPr>
          <w:rFonts w:hint="eastAsia" w:cs="Times New Roman"/>
          <w:color w:val="auto"/>
          <w:sz w:val="24"/>
          <w:szCs w:val="24"/>
          <w:highlight w:val="none"/>
          <w:lang w:val="en-US" w:eastAsia="zh-CN"/>
        </w:rPr>
        <w:t>向东延伸7米，</w:t>
      </w:r>
    </w:p>
    <w:p>
      <w:pPr>
        <w:keepNext w:val="0"/>
        <w:keepLines w:val="0"/>
        <w:pageBreakBefore w:val="0"/>
        <w:kinsoku/>
        <w:wordWrap/>
        <w:overflowPunct/>
        <w:topLinePunct w:val="0"/>
        <w:autoSpaceDE/>
        <w:autoSpaceDN/>
        <w:bidi w:val="0"/>
        <w:snapToGrid/>
        <w:spacing w:line="460" w:lineRule="exact"/>
        <w:jc w:val="left"/>
        <w:textAlignment w:val="baseline"/>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10kV规划采用单母分段接线，已建单母分段接线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户内开关柜</w:t>
      </w:r>
      <w:r>
        <w:rPr>
          <w:rFonts w:hint="default" w:ascii="Times New Roman" w:hAnsi="Times New Roman" w:eastAsia="宋体" w:cs="Times New Roman"/>
          <w:color w:val="auto"/>
          <w:sz w:val="24"/>
          <w:szCs w:val="24"/>
          <w:highlight w:val="none"/>
          <w:lang w:val="en-US" w:eastAsia="zh-CN"/>
        </w:rPr>
        <w:t>双列</w:t>
      </w:r>
      <w:r>
        <w:rPr>
          <w:rFonts w:hint="default" w:ascii="Times New Roman" w:hAnsi="Times New Roman" w:eastAsia="宋体" w:cs="Times New Roman"/>
          <w:color w:val="auto"/>
          <w:sz w:val="24"/>
          <w:szCs w:val="24"/>
          <w:highlight w:val="none"/>
        </w:rPr>
        <w:t>布置，本期不改变。</w:t>
      </w:r>
    </w:p>
    <w:p>
      <w:pPr>
        <w:keepNext w:val="0"/>
        <w:keepLines w:val="0"/>
        <w:pageBreakBefore w:val="0"/>
        <w:kinsoku/>
        <w:wordWrap/>
        <w:overflowPunct/>
        <w:topLinePunct w:val="0"/>
        <w:autoSpaceDE/>
        <w:autoSpaceDN/>
        <w:bidi w:val="0"/>
        <w:snapToGrid/>
        <w:spacing w:line="460" w:lineRule="exact"/>
        <w:ind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（4）无功补偿</w:t>
      </w:r>
    </w:p>
    <w:p>
      <w:pPr>
        <w:keepNext w:val="0"/>
        <w:keepLines w:val="0"/>
        <w:pageBreakBefore w:val="0"/>
        <w:kinsoku/>
        <w:wordWrap/>
        <w:overflowPunct/>
        <w:topLinePunct w:val="0"/>
        <w:autoSpaceDE/>
        <w:autoSpaceDN/>
        <w:bidi w:val="0"/>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eastAsia="宋体" w:cs="Times New Roman"/>
          <w:color w:val="auto"/>
          <w:sz w:val="24"/>
          <w:szCs w:val="24"/>
          <w:highlight w:val="none"/>
          <w:lang w:val="en-US" w:eastAsia="zh-CN"/>
        </w:rPr>
        <w:t>1#变10kV侧装设1组容量为3800kvar的并联电容器组，2#变10kV侧装设1组容量为3000kvar的并联电容器组，本期1#变10kV侧增加1组容量为4800kvar的并联电容器组。</w:t>
      </w:r>
    </w:p>
    <w:p>
      <w:pPr>
        <w:keepNext w:val="0"/>
        <w:keepLines w:val="0"/>
        <w:pageBreakBefore w:val="0"/>
        <w:kinsoku/>
        <w:wordWrap/>
        <w:overflowPunct/>
        <w:topLinePunct w:val="0"/>
        <w:autoSpaceDE/>
        <w:autoSpaceDN/>
        <w:bidi w:val="0"/>
        <w:snapToGrid/>
        <w:spacing w:line="460" w:lineRule="exact"/>
        <w:ind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kern w:val="21"/>
          <w:sz w:val="24"/>
          <w:szCs w:val="24"/>
          <w:highlight w:val="none"/>
        </w:rPr>
        <w:t>（5）</w:t>
      </w:r>
      <w:r>
        <w:rPr>
          <w:rFonts w:hint="default" w:ascii="Times New Roman" w:hAnsi="Times New Roman" w:cs="Times New Roman"/>
          <w:color w:val="auto"/>
          <w:sz w:val="24"/>
          <w:szCs w:val="24"/>
          <w:highlight w:val="none"/>
          <w:lang w:val="en-US" w:eastAsia="zh-CN"/>
        </w:rPr>
        <w:t>站用变</w:t>
      </w:r>
    </w:p>
    <w:p>
      <w:pPr>
        <w:keepNext w:val="0"/>
        <w:keepLines w:val="0"/>
        <w:pageBreakBefore w:val="0"/>
        <w:widowControl/>
        <w:numPr>
          <w:ilvl w:val="0"/>
          <w:numId w:val="0"/>
        </w:numPr>
        <w:kinsoku/>
        <w:wordWrap/>
        <w:overflowPunct/>
        <w:topLinePunct w:val="0"/>
        <w:autoSpaceDE/>
        <w:autoSpaceDN/>
        <w:bidi w:val="0"/>
        <w:snapToGrid/>
        <w:spacing w:line="460" w:lineRule="exact"/>
        <w:ind w:firstLine="560"/>
        <w:jc w:val="left"/>
        <w:rPr>
          <w:rFonts w:hint="default" w:ascii="Times New Roman" w:hAnsi="Times New Roman" w:cs="Times New Roman"/>
          <w:color w:val="auto"/>
          <w:kern w:val="21"/>
          <w:sz w:val="24"/>
          <w:szCs w:val="24"/>
          <w:highlight w:val="none"/>
        </w:rPr>
      </w:pPr>
      <w:r>
        <w:rPr>
          <w:rFonts w:hint="default" w:ascii="Times New Roman" w:hAnsi="Times New Roman" w:eastAsia="宋体" w:cs="Times New Roman"/>
          <w:color w:val="auto"/>
          <w:sz w:val="24"/>
          <w:szCs w:val="24"/>
          <w:highlight w:val="none"/>
          <w:lang w:val="en-US" w:eastAsia="zh-CN"/>
        </w:rPr>
        <w:t>现有</w:t>
      </w:r>
      <w:r>
        <w:rPr>
          <w:rFonts w:hint="default" w:ascii="Times New Roman" w:hAnsi="Times New Roman" w:eastAsia="宋体" w:cs="Times New Roman"/>
          <w:color w:val="auto"/>
          <w:sz w:val="24"/>
          <w:szCs w:val="24"/>
          <w:highlight w:val="none"/>
        </w:rPr>
        <w:t>两台站用变，容量</w:t>
      </w:r>
      <w:r>
        <w:rPr>
          <w:rFonts w:hint="default" w:ascii="Times New Roman" w:hAnsi="Times New Roman" w:eastAsia="宋体" w:cs="Times New Roman"/>
          <w:color w:val="auto"/>
          <w:sz w:val="24"/>
          <w:szCs w:val="24"/>
          <w:highlight w:val="none"/>
          <w:lang w:val="en-US" w:eastAsia="zh-CN"/>
        </w:rPr>
        <w:t>均</w:t>
      </w:r>
      <w:r>
        <w:rPr>
          <w:rFonts w:hint="default" w:ascii="Times New Roman" w:hAnsi="Times New Roman" w:eastAsia="宋体" w:cs="Times New Roman"/>
          <w:color w:val="auto"/>
          <w:sz w:val="24"/>
          <w:szCs w:val="24"/>
          <w:highlight w:val="none"/>
        </w:rPr>
        <w:t>为100kVA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本期拆除1#站变，新增1套容量为400/10.5-100/0.4接地变及消弧线圈成套装置</w:t>
      </w:r>
      <w:r>
        <w:rPr>
          <w:rFonts w:hint="default" w:ascii="Times New Roman" w:hAnsi="Times New Roman" w:eastAsia="宋体" w:cs="Times New Roman"/>
          <w:color w:val="auto"/>
          <w:sz w:val="24"/>
          <w:szCs w:val="24"/>
          <w:highlight w:val="none"/>
        </w:rPr>
        <w:t>。</w:t>
      </w:r>
    </w:p>
    <w:p>
      <w:pPr>
        <w:keepNext w:val="0"/>
        <w:keepLines w:val="0"/>
        <w:pageBreakBefore w:val="0"/>
        <w:tabs>
          <w:tab w:val="left" w:pos="3360"/>
        </w:tabs>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color w:val="auto"/>
          <w:kern w:val="21"/>
          <w:sz w:val="24"/>
          <w:szCs w:val="24"/>
          <w:highlight w:val="none"/>
        </w:rPr>
        <w:t>1.1.2.2 设计范围</w:t>
      </w:r>
      <w:r>
        <w:rPr>
          <w:rFonts w:hint="default" w:ascii="Times New Roman" w:hAnsi="Times New Roman" w:cs="Times New Roman"/>
          <w:snapToGrid w:val="0"/>
          <w:color w:val="auto"/>
          <w:kern w:val="21"/>
          <w:sz w:val="24"/>
          <w:szCs w:val="24"/>
          <w:highlight w:val="none"/>
        </w:rPr>
        <w:tab/>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bookmarkStart w:id="192" w:name="_Toc296606652"/>
      <w:r>
        <w:rPr>
          <w:rFonts w:hint="default" w:ascii="Times New Roman" w:hAnsi="Times New Roman" w:cs="Times New Roman"/>
          <w:snapToGrid w:val="0"/>
          <w:color w:val="auto"/>
          <w:kern w:val="21"/>
          <w:sz w:val="24"/>
          <w:szCs w:val="24"/>
          <w:highlight w:val="none"/>
          <w:lang w:val="en-US" w:eastAsia="zh-CN"/>
        </w:rPr>
        <w:t>本工程设计范围：1</w:t>
      </w:r>
      <w:r>
        <w:rPr>
          <w:rFonts w:hint="default" w:ascii="Times New Roman" w:hAnsi="Times New Roman" w:cs="Times New Roman"/>
          <w:snapToGrid w:val="0"/>
          <w:color w:val="auto"/>
          <w:kern w:val="21"/>
          <w:sz w:val="24"/>
          <w:szCs w:val="24"/>
          <w:highlight w:val="none"/>
        </w:rPr>
        <w:t>#主变</w:t>
      </w:r>
      <w:r>
        <w:rPr>
          <w:rFonts w:hint="default" w:ascii="Times New Roman" w:hAnsi="Times New Roman" w:cs="Times New Roman"/>
          <w:snapToGrid w:val="0"/>
          <w:color w:val="auto"/>
          <w:kern w:val="21"/>
          <w:sz w:val="24"/>
          <w:szCs w:val="24"/>
          <w:highlight w:val="none"/>
          <w:lang w:val="en-US" w:eastAsia="zh-CN"/>
        </w:rPr>
        <w:t>压器更换为40MVA</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更换110</w:t>
      </w:r>
      <w:r>
        <w:rPr>
          <w:rFonts w:hint="default" w:ascii="Times New Roman" w:hAnsi="Times New Roman" w:cs="Times New Roman"/>
          <w:snapToGrid w:val="0"/>
          <w:color w:val="auto"/>
          <w:kern w:val="21"/>
          <w:sz w:val="24"/>
          <w:szCs w:val="24"/>
          <w:highlight w:val="none"/>
        </w:rPr>
        <w:t>kV</w:t>
      </w:r>
      <w:r>
        <w:rPr>
          <w:rFonts w:hint="default" w:ascii="Times New Roman" w:hAnsi="Times New Roman" w:cs="Times New Roman"/>
          <w:snapToGrid w:val="0"/>
          <w:color w:val="auto"/>
          <w:kern w:val="21"/>
          <w:sz w:val="24"/>
          <w:szCs w:val="24"/>
          <w:highlight w:val="none"/>
          <w:lang w:val="en-US" w:eastAsia="zh-CN"/>
        </w:rPr>
        <w:t>出线电流互感器及两侧引线，更换1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主进</w:t>
      </w:r>
      <w:r>
        <w:rPr>
          <w:rFonts w:hint="default" w:ascii="Times New Roman" w:hAnsi="Times New Roman" w:cs="Times New Roman"/>
          <w:snapToGrid w:val="0"/>
          <w:color w:val="auto"/>
          <w:kern w:val="21"/>
          <w:sz w:val="24"/>
          <w:szCs w:val="24"/>
          <w:highlight w:val="none"/>
        </w:rPr>
        <w:t>10kV</w:t>
      </w:r>
      <w:r>
        <w:rPr>
          <w:rFonts w:hint="default" w:ascii="Times New Roman" w:hAnsi="Times New Roman" w:cs="Times New Roman"/>
          <w:snapToGrid w:val="0"/>
          <w:color w:val="auto"/>
          <w:kern w:val="21"/>
          <w:sz w:val="24"/>
          <w:szCs w:val="24"/>
          <w:highlight w:val="none"/>
          <w:lang w:val="en-US" w:eastAsia="zh-CN"/>
        </w:rPr>
        <w:t>母线桥、</w:t>
      </w:r>
      <w:r>
        <w:rPr>
          <w:rFonts w:hint="default" w:ascii="Times New Roman" w:hAnsi="Times New Roman" w:eastAsia="宋体" w:cs="Times New Roman"/>
          <w:color w:val="auto"/>
          <w:sz w:val="24"/>
          <w:szCs w:val="24"/>
          <w:highlight w:val="none"/>
          <w:lang w:val="en-US" w:eastAsia="zh-CN"/>
        </w:rPr>
        <w:t>拆除1#站用变，在此位置新增3#电容器柜，更换1#主进柜，更换出线柜2台，更换10kV1#主进母线桥，更换10kV东母南北跨桥。</w:t>
      </w:r>
      <w:r>
        <w:rPr>
          <w:rFonts w:hint="default" w:ascii="Times New Roman" w:hAnsi="Times New Roman" w:cs="Times New Roman"/>
          <w:snapToGrid w:val="0"/>
          <w:color w:val="auto"/>
          <w:kern w:val="21"/>
          <w:sz w:val="24"/>
          <w:szCs w:val="24"/>
          <w:highlight w:val="none"/>
          <w:lang w:val="en-US" w:eastAsia="zh-CN"/>
        </w:rPr>
        <w:t>新增1组4800</w:t>
      </w:r>
      <w:r>
        <w:rPr>
          <w:rFonts w:hint="default" w:ascii="Times New Roman" w:hAnsi="Times New Roman" w:eastAsia="宋体" w:cs="Times New Roman"/>
          <w:color w:val="auto"/>
          <w:sz w:val="24"/>
          <w:szCs w:val="24"/>
          <w:highlight w:val="none"/>
          <w:lang w:val="en-US" w:eastAsia="zh-CN"/>
        </w:rPr>
        <w:t>kvar</w:t>
      </w:r>
      <w:r>
        <w:rPr>
          <w:rFonts w:hint="default" w:ascii="Times New Roman" w:hAnsi="Times New Roman" w:cs="Times New Roman"/>
          <w:snapToGrid w:val="0"/>
          <w:color w:val="auto"/>
          <w:kern w:val="21"/>
          <w:sz w:val="24"/>
          <w:szCs w:val="24"/>
          <w:highlight w:val="none"/>
          <w:lang w:val="en-US" w:eastAsia="zh-CN"/>
        </w:rPr>
        <w:t>电容器、</w:t>
      </w:r>
      <w:r>
        <w:rPr>
          <w:rFonts w:hint="default" w:ascii="Times New Roman" w:hAnsi="Times New Roman" w:eastAsia="宋体" w:cs="Times New Roman"/>
          <w:color w:val="auto"/>
          <w:sz w:val="24"/>
          <w:szCs w:val="24"/>
          <w:highlight w:val="none"/>
          <w:lang w:val="en-US" w:eastAsia="zh-CN"/>
        </w:rPr>
        <w:t>1套容量为400/10.5-100/0.4接地变及消弧线圈成套装置、</w:t>
      </w:r>
      <w:r>
        <w:rPr>
          <w:rFonts w:hint="default" w:ascii="Times New Roman" w:hAnsi="Times New Roman" w:cs="Times New Roman"/>
          <w:color w:val="auto"/>
          <w:kern w:val="21"/>
          <w:sz w:val="24"/>
          <w:szCs w:val="24"/>
          <w:highlight w:val="none"/>
        </w:rPr>
        <w:t>3只10kV避雷器</w:t>
      </w:r>
      <w:r>
        <w:rPr>
          <w:rFonts w:hint="default" w:ascii="Times New Roman" w:hAnsi="Times New Roman" w:cs="Times New Roman"/>
          <w:snapToGrid w:val="0"/>
          <w:color w:val="auto"/>
          <w:kern w:val="21"/>
          <w:sz w:val="24"/>
          <w:szCs w:val="24"/>
          <w:highlight w:val="none"/>
          <w:lang w:val="en-US" w:eastAsia="zh-CN"/>
        </w:rPr>
        <w:t>及其对应</w:t>
      </w:r>
      <w:r>
        <w:rPr>
          <w:rFonts w:hint="default" w:ascii="Times New Roman" w:hAnsi="Times New Roman" w:cs="Times New Roman"/>
          <w:snapToGrid w:val="0"/>
          <w:color w:val="auto"/>
          <w:kern w:val="21"/>
          <w:sz w:val="24"/>
          <w:szCs w:val="24"/>
          <w:highlight w:val="none"/>
        </w:rPr>
        <w:t>二次部分</w:t>
      </w:r>
      <w:r>
        <w:rPr>
          <w:rFonts w:hint="default" w:ascii="Times New Roman" w:hAnsi="Times New Roman" w:cs="Times New Roman"/>
          <w:snapToGrid w:val="0"/>
          <w:color w:val="auto"/>
          <w:kern w:val="21"/>
          <w:sz w:val="24"/>
          <w:szCs w:val="24"/>
          <w:highlight w:val="none"/>
          <w:lang w:val="en-US" w:eastAsia="zh-CN"/>
        </w:rPr>
        <w:t>和土建部分按本期建设规模</w:t>
      </w:r>
      <w:r>
        <w:rPr>
          <w:rFonts w:hint="default" w:ascii="Times New Roman" w:hAnsi="Times New Roman" w:cs="Times New Roman"/>
          <w:snapToGrid w:val="0"/>
          <w:color w:val="auto"/>
          <w:kern w:val="21"/>
          <w:sz w:val="24"/>
          <w:szCs w:val="24"/>
          <w:highlight w:val="none"/>
        </w:rPr>
        <w:t>设计。</w:t>
      </w:r>
    </w:p>
    <w:bookmarkEnd w:id="192"/>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193" w:name="_Toc17562"/>
      <w:r>
        <w:rPr>
          <w:rFonts w:hint="default" w:ascii="Times New Roman" w:hAnsi="Times New Roman" w:cs="Times New Roman"/>
          <w:color w:val="auto"/>
          <w:kern w:val="21"/>
          <w:sz w:val="24"/>
          <w:szCs w:val="24"/>
          <w:highlight w:val="none"/>
        </w:rPr>
        <w:t>1.2  站址概况</w:t>
      </w:r>
      <w:bookmarkEnd w:id="193"/>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1.2.1  站址自然条件</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岷山变位于岷山集团东侧，龙康大道北侧约600m。004乡道西侧约500m。区域地势较平坦，交通便利，路况良好，满足大件运输条件。</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1.2.</w:t>
      </w:r>
      <w:r>
        <w:rPr>
          <w:rFonts w:hint="default" w:ascii="Times New Roman" w:hAnsi="Times New Roman" w:cs="Times New Roman"/>
          <w:snapToGrid w:val="0"/>
          <w:color w:val="auto"/>
          <w:kern w:val="21"/>
          <w:sz w:val="24"/>
          <w:szCs w:val="24"/>
          <w:highlight w:val="none"/>
          <w:lang w:eastAsia="zh-CN"/>
        </w:rPr>
        <w:t>2</w:t>
      </w:r>
      <w:r>
        <w:rPr>
          <w:rFonts w:hint="default" w:ascii="Times New Roman" w:hAnsi="Times New Roman" w:cs="Times New Roman"/>
          <w:snapToGrid w:val="0"/>
          <w:color w:val="auto"/>
          <w:kern w:val="21"/>
          <w:sz w:val="24"/>
          <w:szCs w:val="24"/>
          <w:highlight w:val="none"/>
        </w:rPr>
        <w:t xml:space="preserve"> 进出线走廊条件</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bookmarkStart w:id="194" w:name="_Toc15343"/>
      <w:bookmarkStart w:id="195" w:name="_Toc10204"/>
      <w:bookmarkStart w:id="196" w:name="_Toc296174706"/>
      <w:bookmarkStart w:id="197" w:name="_Toc30429"/>
      <w:bookmarkStart w:id="198" w:name="_Toc259368824"/>
      <w:bookmarkStart w:id="199" w:name="_Toc20618"/>
      <w:bookmarkStart w:id="200" w:name="_Toc296606653"/>
      <w:r>
        <w:rPr>
          <w:rFonts w:hint="default" w:ascii="Times New Roman" w:hAnsi="Times New Roman" w:cs="Times New Roman"/>
          <w:snapToGrid w:val="0"/>
          <w:color w:val="auto"/>
          <w:kern w:val="21"/>
          <w:sz w:val="24"/>
          <w:szCs w:val="24"/>
          <w:highlight w:val="none"/>
          <w:lang w:val="zh-CN" w:eastAsia="zh-CN"/>
        </w:rPr>
        <w:t>根据系统规划和站址周围环境，110kV AIS设备布置于</w:t>
      </w:r>
      <w:r>
        <w:rPr>
          <w:rFonts w:hint="default" w:ascii="Times New Roman" w:hAnsi="Times New Roman" w:cs="Times New Roman"/>
          <w:snapToGrid w:val="0"/>
          <w:color w:val="auto"/>
          <w:kern w:val="21"/>
          <w:sz w:val="24"/>
          <w:szCs w:val="24"/>
          <w:highlight w:val="none"/>
          <w:lang w:val="en-US" w:eastAsia="zh-CN"/>
        </w:rPr>
        <w:t>站区北侧</w:t>
      </w:r>
      <w:r>
        <w:rPr>
          <w:rFonts w:hint="default" w:ascii="Times New Roman" w:hAnsi="Times New Roman" w:cs="Times New Roman"/>
          <w:snapToGrid w:val="0"/>
          <w:color w:val="auto"/>
          <w:kern w:val="21"/>
          <w:sz w:val="24"/>
          <w:szCs w:val="24"/>
          <w:highlight w:val="none"/>
          <w:lang w:val="zh-CN" w:eastAsia="zh-CN"/>
        </w:rPr>
        <w:t>，向</w:t>
      </w:r>
      <w:r>
        <w:rPr>
          <w:rFonts w:hint="default" w:ascii="Times New Roman" w:hAnsi="Times New Roman" w:cs="Times New Roman"/>
          <w:snapToGrid w:val="0"/>
          <w:color w:val="auto"/>
          <w:kern w:val="21"/>
          <w:sz w:val="24"/>
          <w:szCs w:val="24"/>
          <w:highlight w:val="none"/>
          <w:lang w:val="en-US" w:eastAsia="zh-CN"/>
        </w:rPr>
        <w:t>北电缆</w:t>
      </w:r>
      <w:r>
        <w:rPr>
          <w:rFonts w:hint="default" w:ascii="Times New Roman" w:hAnsi="Times New Roman" w:cs="Times New Roman"/>
          <w:snapToGrid w:val="0"/>
          <w:color w:val="auto"/>
          <w:kern w:val="21"/>
          <w:sz w:val="24"/>
          <w:szCs w:val="24"/>
          <w:highlight w:val="none"/>
          <w:lang w:val="zh-CN" w:eastAsia="zh-CN"/>
        </w:rPr>
        <w:t>出线，规划出线2回，已建成</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zh-CN" w:eastAsia="zh-CN"/>
        </w:rPr>
        <w:t>回，进出线走廊条件良好。</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1.2.3  征地拆迁及设施移改的内容</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本工程为</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zh-CN"/>
        </w:rPr>
        <w:t>#主变增容项目，在变电站内进行建设，无新增征地、无拆迁赔偿。</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1.2.4  工程地质、水文地质和水文气象条件</w:t>
      </w:r>
    </w:p>
    <w:p>
      <w:pPr>
        <w:keepNext w:val="0"/>
        <w:keepLines w:val="0"/>
        <w:pageBreakBefore w:val="0"/>
        <w:widowControl/>
        <w:kinsoku/>
        <w:wordWrap/>
        <w:overflowPunct/>
        <w:topLinePunct w:val="0"/>
        <w:autoSpaceDE/>
        <w:autoSpaceDN/>
        <w:bidi w:val="0"/>
        <w:snapToGrid/>
        <w:spacing w:line="460" w:lineRule="exact"/>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 xml:space="preserve">   （1）</w:t>
      </w:r>
      <w:r>
        <w:rPr>
          <w:rFonts w:hint="default" w:ascii="Times New Roman" w:hAnsi="Times New Roman" w:cs="Times New Roman"/>
          <w:color w:val="auto"/>
          <w:sz w:val="24"/>
          <w:szCs w:val="24"/>
          <w:highlight w:val="none"/>
        </w:rPr>
        <w:t>本工程在站内扩建，</w:t>
      </w:r>
      <w:r>
        <w:rPr>
          <w:rFonts w:hint="default" w:ascii="Times New Roman" w:hAnsi="Times New Roman" w:cs="Times New Roman"/>
          <w:color w:val="auto"/>
          <w:kern w:val="21"/>
          <w:sz w:val="24"/>
          <w:szCs w:val="24"/>
          <w:highlight w:val="none"/>
        </w:rPr>
        <w:t>场地内不存在对工程安全有影响的暗藏的河道、沟浜、孤石、地下采空区等不良地质现象。</w:t>
      </w:r>
    </w:p>
    <w:p>
      <w:pPr>
        <w:keepNext w:val="0"/>
        <w:keepLines w:val="0"/>
        <w:pageBreakBefore w:val="0"/>
        <w:kinsoku/>
        <w:wordWrap/>
        <w:overflowPunct/>
        <w:topLinePunct w:val="0"/>
        <w:autoSpaceDE/>
        <w:autoSpaceDN/>
        <w:bidi w:val="0"/>
        <w:snapToGrid/>
        <w:spacing w:line="460" w:lineRule="exact"/>
        <w:ind w:firstLine="240" w:firstLineChars="100"/>
        <w:jc w:val="left"/>
        <w:textAlignment w:val="baseline"/>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 xml:space="preserve"> （2）</w:t>
      </w:r>
      <w:r>
        <w:rPr>
          <w:rFonts w:hint="default" w:ascii="Times New Roman" w:hAnsi="Times New Roman" w:cs="Times New Roman"/>
          <w:color w:val="auto"/>
          <w:sz w:val="24"/>
          <w:szCs w:val="24"/>
          <w:highlight w:val="none"/>
        </w:rPr>
        <w:t>根据《建筑抗震设计规范》（GB50011～2010</w:t>
      </w:r>
      <w:r>
        <w:rPr>
          <w:rFonts w:hint="default" w:ascii="Times New Roman" w:hAnsi="Times New Roman" w:cs="Times New Roman"/>
          <w:color w:val="auto"/>
          <w:sz w:val="24"/>
          <w:szCs w:val="24"/>
          <w:highlight w:val="none"/>
          <w:lang w:val="zh-CN"/>
        </w:rPr>
        <w:t>，2016年版</w:t>
      </w:r>
      <w:r>
        <w:rPr>
          <w:rFonts w:hint="default" w:ascii="Times New Roman" w:hAnsi="Times New Roman" w:cs="Times New Roman"/>
          <w:color w:val="auto"/>
          <w:sz w:val="24"/>
          <w:szCs w:val="24"/>
          <w:highlight w:val="none"/>
        </w:rPr>
        <w:t>），本勘探区抗震设防烈度为八度，设计地震分组为第一组，设计基本地震加速度值为0.2g。设计特征周期为0.35s。</w:t>
      </w:r>
    </w:p>
    <w:p>
      <w:pPr>
        <w:keepNext w:val="0"/>
        <w:keepLines w:val="0"/>
        <w:pageBreakBefore w:val="0"/>
        <w:kinsoku/>
        <w:wordWrap/>
        <w:overflowPunct/>
        <w:topLinePunct w:val="0"/>
        <w:autoSpaceDE/>
        <w:autoSpaceDN/>
        <w:bidi w:val="0"/>
        <w:snapToGrid/>
        <w:spacing w:line="460" w:lineRule="exact"/>
        <w:ind w:firstLine="240" w:firstLineChars="1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kern w:val="21"/>
          <w:sz w:val="24"/>
          <w:szCs w:val="24"/>
          <w:highlight w:val="none"/>
        </w:rPr>
        <w:t xml:space="preserve"> （3）</w:t>
      </w:r>
      <w:r>
        <w:rPr>
          <w:rFonts w:hint="default" w:ascii="Times New Roman" w:hAnsi="Times New Roman" w:cs="Times New Roman"/>
          <w:color w:val="auto"/>
          <w:sz w:val="24"/>
          <w:szCs w:val="24"/>
          <w:highlight w:val="none"/>
        </w:rPr>
        <w:t>根据不同时代、成因类型和岩土工程地质性能，将地层划分为二个岩土工程地质单元，自上而下分别叙述如下：</w:t>
      </w:r>
    </w:p>
    <w:p>
      <w:pPr>
        <w:keepNext w:val="0"/>
        <w:keepLines w:val="0"/>
        <w:pageBreakBefore w:val="0"/>
        <w:widowControl/>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bookmarkStart w:id="201" w:name="_Toc15637_WPSOffice_Level2"/>
      <w:r>
        <w:rPr>
          <w:rFonts w:hint="default" w:ascii="Times New Roman" w:hAnsi="Times New Roman" w:cs="Times New Roman"/>
          <w:color w:val="auto"/>
          <w:kern w:val="21"/>
          <w:sz w:val="24"/>
          <w:szCs w:val="24"/>
          <w:highlight w:val="none"/>
        </w:rPr>
        <w:t>a.</w:t>
      </w:r>
      <w:r>
        <w:rPr>
          <w:rFonts w:hint="default" w:ascii="Times New Roman" w:hAnsi="Times New Roman" w:cs="Times New Roman"/>
          <w:color w:val="auto"/>
          <w:sz w:val="24"/>
          <w:szCs w:val="24"/>
          <w:highlight w:val="none"/>
        </w:rPr>
        <w:t xml:space="preserve"> 素填土单元(Q</w:t>
      </w:r>
      <w:r>
        <w:rPr>
          <w:rFonts w:hint="default" w:ascii="Times New Roman" w:hAnsi="Times New Roman" w:cs="Times New Roman"/>
          <w:color w:val="auto"/>
          <w:sz w:val="24"/>
          <w:szCs w:val="24"/>
          <w:highlight w:val="none"/>
          <w:vertAlign w:val="subscript"/>
        </w:rPr>
        <w:t>4</w:t>
      </w:r>
      <w:r>
        <w:rPr>
          <w:rFonts w:hint="default" w:ascii="Times New Roman" w:hAnsi="Times New Roman" w:cs="Times New Roman"/>
          <w:color w:val="auto"/>
          <w:sz w:val="24"/>
          <w:szCs w:val="24"/>
          <w:highlight w:val="none"/>
          <w:vertAlign w:val="superscript"/>
        </w:rPr>
        <w:t>al</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，平均厚度1.0m</w:t>
      </w:r>
      <w:r>
        <w:rPr>
          <w:rFonts w:hint="default" w:ascii="Times New Roman" w:hAnsi="Times New Roman" w:cs="Times New Roman"/>
          <w:color w:val="auto"/>
          <w:kern w:val="21"/>
          <w:sz w:val="24"/>
          <w:szCs w:val="24"/>
          <w:highlight w:val="none"/>
        </w:rPr>
        <w:t>；</w:t>
      </w:r>
    </w:p>
    <w:p>
      <w:pPr>
        <w:keepNext w:val="0"/>
        <w:keepLines w:val="0"/>
        <w:pageBreakBefore w:val="0"/>
        <w:widowControl/>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b.</w:t>
      </w:r>
      <w:r>
        <w:rPr>
          <w:rFonts w:hint="default" w:ascii="Times New Roman" w:hAnsi="Times New Roman" w:cs="Times New Roman"/>
          <w:color w:val="auto"/>
          <w:sz w:val="24"/>
          <w:szCs w:val="24"/>
          <w:highlight w:val="none"/>
        </w:rPr>
        <w:t xml:space="preserve"> 泥岩单元(Q</w:t>
      </w:r>
      <w:r>
        <w:rPr>
          <w:rFonts w:hint="default" w:ascii="Times New Roman" w:hAnsi="Times New Roman" w:cs="Times New Roman"/>
          <w:color w:val="auto"/>
          <w:sz w:val="24"/>
          <w:szCs w:val="24"/>
          <w:highlight w:val="none"/>
          <w:vertAlign w:val="subscript"/>
        </w:rPr>
        <w:t>4</w:t>
      </w:r>
      <w:r>
        <w:rPr>
          <w:rFonts w:hint="default" w:ascii="Times New Roman" w:hAnsi="Times New Roman" w:cs="Times New Roman"/>
          <w:color w:val="auto"/>
          <w:sz w:val="24"/>
          <w:szCs w:val="24"/>
          <w:highlight w:val="none"/>
          <w:vertAlign w:val="superscript"/>
        </w:rPr>
        <w:t>al</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，本层未揭，穿埋深12m以下</w:t>
      </w:r>
      <w:r>
        <w:rPr>
          <w:rFonts w:hint="default" w:ascii="Times New Roman" w:hAnsi="Times New Roman" w:cs="Times New Roman"/>
          <w:color w:val="auto"/>
          <w:kern w:val="21"/>
          <w:sz w:val="24"/>
          <w:szCs w:val="24"/>
          <w:highlight w:val="none"/>
        </w:rPr>
        <w:t>；</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02" w:name="_Toc5451"/>
      <w:r>
        <w:rPr>
          <w:rFonts w:hint="default" w:ascii="Times New Roman" w:hAnsi="Times New Roman" w:cs="Times New Roman"/>
          <w:color w:val="auto"/>
          <w:kern w:val="21"/>
          <w:sz w:val="24"/>
          <w:szCs w:val="24"/>
          <w:highlight w:val="none"/>
        </w:rPr>
        <w:t>1.3</w:t>
      </w:r>
      <w:r>
        <w:rPr>
          <w:rFonts w:hint="default" w:ascii="Times New Roman" w:hAnsi="Times New Roman" w:cs="Times New Roman"/>
          <w:color w:val="auto"/>
          <w:kern w:val="21"/>
          <w:sz w:val="24"/>
          <w:szCs w:val="24"/>
          <w:highlight w:val="none"/>
          <w:lang w:val="en-US" w:eastAsia="zh-CN"/>
        </w:rPr>
        <w:t xml:space="preserve"> </w:t>
      </w:r>
      <w:r>
        <w:rPr>
          <w:rFonts w:hint="default" w:ascii="Times New Roman" w:hAnsi="Times New Roman" w:cs="Times New Roman"/>
          <w:color w:val="auto"/>
          <w:kern w:val="21"/>
          <w:sz w:val="24"/>
          <w:szCs w:val="24"/>
          <w:highlight w:val="none"/>
        </w:rPr>
        <w:t xml:space="preserve"> 设计水平年</w:t>
      </w:r>
      <w:bookmarkEnd w:id="201"/>
      <w:bookmarkEnd w:id="202"/>
    </w:p>
    <w:p>
      <w:pPr>
        <w:keepNext w:val="0"/>
        <w:keepLines w:val="0"/>
        <w:pageBreakBefore w:val="0"/>
        <w:kinsoku/>
        <w:wordWrap/>
        <w:overflowPunct/>
        <w:topLinePunct w:val="0"/>
        <w:autoSpaceDE/>
        <w:autoSpaceDN/>
        <w:bidi w:val="0"/>
        <w:snapToGrid/>
        <w:spacing w:line="460" w:lineRule="exact"/>
        <w:ind w:firstLine="56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本工程选定其投产年20</w:t>
      </w:r>
      <w:r>
        <w:rPr>
          <w:rFonts w:hint="default" w:ascii="Times New Roman" w:hAnsi="Times New Roman" w:cs="Times New Roman"/>
          <w:snapToGrid w:val="0"/>
          <w:color w:val="auto"/>
          <w:kern w:val="21"/>
          <w:sz w:val="24"/>
          <w:szCs w:val="24"/>
          <w:highlight w:val="none"/>
          <w:lang w:val="en-US" w:eastAsia="zh-CN"/>
        </w:rPr>
        <w:t>21</w:t>
      </w:r>
      <w:r>
        <w:rPr>
          <w:rFonts w:hint="default" w:ascii="Times New Roman" w:hAnsi="Times New Roman" w:cs="Times New Roman"/>
          <w:snapToGrid w:val="0"/>
          <w:color w:val="auto"/>
          <w:kern w:val="21"/>
          <w:sz w:val="24"/>
          <w:szCs w:val="24"/>
          <w:highlight w:val="none"/>
        </w:rPr>
        <w:t>年为设计水平年，展望到2025年。</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03" w:name="_Toc17550"/>
      <w:r>
        <w:rPr>
          <w:rFonts w:hint="default" w:ascii="Times New Roman" w:hAnsi="Times New Roman" w:cs="Times New Roman"/>
          <w:color w:val="auto"/>
          <w:kern w:val="21"/>
          <w:sz w:val="24"/>
          <w:szCs w:val="24"/>
          <w:highlight w:val="none"/>
        </w:rPr>
        <w:t>1.</w:t>
      </w:r>
      <w:r>
        <w:rPr>
          <w:rFonts w:hint="default" w:ascii="Times New Roman" w:hAnsi="Times New Roman" w:cs="Times New Roman"/>
          <w:color w:val="auto"/>
          <w:kern w:val="21"/>
          <w:sz w:val="24"/>
          <w:szCs w:val="24"/>
          <w:highlight w:val="none"/>
          <w:lang w:val="en-US" w:eastAsia="zh-CN"/>
        </w:rPr>
        <w:t>4</w:t>
      </w:r>
      <w:r>
        <w:rPr>
          <w:rFonts w:hint="default" w:ascii="Times New Roman" w:hAnsi="Times New Roman" w:cs="Times New Roman"/>
          <w:color w:val="auto"/>
          <w:kern w:val="21"/>
          <w:sz w:val="24"/>
          <w:szCs w:val="24"/>
          <w:highlight w:val="none"/>
        </w:rPr>
        <w:t xml:space="preserve">  主要技术原则</w:t>
      </w:r>
      <w:bookmarkEnd w:id="194"/>
      <w:bookmarkEnd w:id="195"/>
      <w:bookmarkEnd w:id="196"/>
      <w:bookmarkEnd w:id="197"/>
      <w:bookmarkEnd w:id="198"/>
      <w:bookmarkEnd w:id="199"/>
      <w:bookmarkEnd w:id="200"/>
      <w:bookmarkEnd w:id="203"/>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（1）电气主接线</w:t>
      </w:r>
    </w:p>
    <w:p>
      <w:pPr>
        <w:keepNext w:val="0"/>
        <w:keepLines w:val="0"/>
        <w:pageBreakBefore w:val="0"/>
        <w:kinsoku/>
        <w:wordWrap/>
        <w:overflowPunct/>
        <w:topLinePunct w:val="0"/>
        <w:autoSpaceDE/>
        <w:autoSpaceDN/>
        <w:bidi w:val="0"/>
        <w:snapToGrid/>
        <w:spacing w:line="460" w:lineRule="exact"/>
        <w:ind w:firstLine="560"/>
        <w:jc w:val="left"/>
        <w:textAlignment w:val="baseline"/>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rPr>
        <w:t>110kV规划采用</w:t>
      </w:r>
      <w:r>
        <w:rPr>
          <w:rFonts w:hint="default" w:ascii="Times New Roman" w:hAnsi="Times New Roman" w:cs="Times New Roman"/>
          <w:snapToGrid w:val="0"/>
          <w:color w:val="auto"/>
          <w:kern w:val="21"/>
          <w:sz w:val="24"/>
          <w:szCs w:val="24"/>
          <w:highlight w:val="none"/>
          <w:lang w:val="en-US" w:eastAsia="zh-CN"/>
        </w:rPr>
        <w:t>单母线</w:t>
      </w:r>
      <w:r>
        <w:rPr>
          <w:rFonts w:hint="default" w:ascii="Times New Roman" w:hAnsi="Times New Roman" w:cs="Times New Roman"/>
          <w:snapToGrid w:val="0"/>
          <w:color w:val="auto"/>
          <w:kern w:val="21"/>
          <w:sz w:val="24"/>
          <w:szCs w:val="24"/>
          <w:highlight w:val="none"/>
        </w:rPr>
        <w:t>接线，已建</w:t>
      </w:r>
      <w:r>
        <w:rPr>
          <w:rFonts w:hint="default" w:ascii="Times New Roman" w:hAnsi="Times New Roman" w:cs="Times New Roman"/>
          <w:snapToGrid w:val="0"/>
          <w:color w:val="auto"/>
          <w:kern w:val="21"/>
          <w:sz w:val="24"/>
          <w:szCs w:val="24"/>
          <w:highlight w:val="none"/>
          <w:lang w:val="en-US" w:eastAsia="zh-CN"/>
        </w:rPr>
        <w:t>单母线</w:t>
      </w:r>
      <w:r>
        <w:rPr>
          <w:rFonts w:hint="default" w:ascii="Times New Roman" w:hAnsi="Times New Roman" w:cs="Times New Roman"/>
          <w:snapToGrid w:val="0"/>
          <w:color w:val="auto"/>
          <w:kern w:val="21"/>
          <w:sz w:val="24"/>
          <w:szCs w:val="24"/>
          <w:highlight w:val="none"/>
        </w:rPr>
        <w:t>接线</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eastAsia="宋体" w:cs="Times New Roman"/>
          <w:color w:val="auto"/>
          <w:sz w:val="24"/>
          <w:szCs w:val="24"/>
          <w:highlight w:val="none"/>
        </w:rPr>
        <w:t>本期不改变。</w:t>
      </w:r>
    </w:p>
    <w:p>
      <w:pPr>
        <w:keepNext w:val="0"/>
        <w:keepLines w:val="0"/>
        <w:pageBreakBefore w:val="0"/>
        <w:kinsoku/>
        <w:wordWrap/>
        <w:overflowPunct/>
        <w:topLinePunct w:val="0"/>
        <w:autoSpaceDE/>
        <w:autoSpaceDN/>
        <w:bidi w:val="0"/>
        <w:snapToGrid/>
        <w:spacing w:line="460" w:lineRule="exact"/>
        <w:ind w:firstLine="560"/>
        <w:jc w:val="left"/>
        <w:textAlignment w:val="baseline"/>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eastAsia="宋体" w:cs="Times New Roman"/>
          <w:color w:val="auto"/>
          <w:sz w:val="24"/>
          <w:szCs w:val="24"/>
          <w:highlight w:val="none"/>
        </w:rPr>
        <w:t>10kV规划采用单母分段接线，已建单母分段接线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本期不改变。</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（2）主要设备选择</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短路电流水平</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110kV电气设备按40kA短路电流水平选择；1</w:t>
      </w:r>
      <w:r>
        <w:rPr>
          <w:rFonts w:hint="default" w:ascii="Times New Roman" w:hAnsi="Times New Roman" w:cs="Times New Roman"/>
          <w:snapToGrid w:val="0"/>
          <w:color w:val="auto"/>
          <w:kern w:val="21"/>
          <w:sz w:val="24"/>
          <w:szCs w:val="24"/>
          <w:highlight w:val="none"/>
          <w:lang w:val="zh-CN"/>
        </w:rPr>
        <w:t>0kV</w:t>
      </w:r>
      <w:r>
        <w:rPr>
          <w:rFonts w:hint="default" w:ascii="Times New Roman" w:hAnsi="Times New Roman" w:cs="Times New Roman"/>
          <w:snapToGrid w:val="0"/>
          <w:color w:val="auto"/>
          <w:kern w:val="21"/>
          <w:sz w:val="24"/>
          <w:szCs w:val="24"/>
          <w:highlight w:val="none"/>
          <w:lang w:val="en-US" w:eastAsia="zh-CN"/>
        </w:rPr>
        <w:t>新建</w:t>
      </w:r>
      <w:r>
        <w:rPr>
          <w:rFonts w:hint="default" w:ascii="Times New Roman" w:hAnsi="Times New Roman" w:cs="Times New Roman"/>
          <w:snapToGrid w:val="0"/>
          <w:color w:val="auto"/>
          <w:kern w:val="21"/>
          <w:sz w:val="24"/>
          <w:szCs w:val="24"/>
          <w:highlight w:val="none"/>
          <w:lang w:val="zh-CN"/>
        </w:rPr>
        <w:t>电气设备主进按</w:t>
      </w:r>
      <w:r>
        <w:rPr>
          <w:rFonts w:hint="default" w:ascii="Times New Roman" w:hAnsi="Times New Roman" w:cs="Times New Roman"/>
          <w:snapToGrid w:val="0"/>
          <w:color w:val="auto"/>
          <w:kern w:val="21"/>
          <w:sz w:val="24"/>
          <w:szCs w:val="24"/>
          <w:highlight w:val="none"/>
        </w:rPr>
        <w:t>4</w:t>
      </w:r>
      <w:r>
        <w:rPr>
          <w:rFonts w:hint="default" w:ascii="Times New Roman" w:hAnsi="Times New Roman" w:cs="Times New Roman"/>
          <w:snapToGrid w:val="0"/>
          <w:color w:val="auto"/>
          <w:kern w:val="21"/>
          <w:sz w:val="24"/>
          <w:szCs w:val="24"/>
          <w:highlight w:val="none"/>
          <w:lang w:val="zh-CN"/>
        </w:rPr>
        <w:t>0kA、其它按</w:t>
      </w:r>
      <w:r>
        <w:rPr>
          <w:rFonts w:hint="default" w:ascii="Times New Roman" w:hAnsi="Times New Roman" w:cs="Times New Roman"/>
          <w:snapToGrid w:val="0"/>
          <w:color w:val="auto"/>
          <w:kern w:val="21"/>
          <w:sz w:val="24"/>
          <w:szCs w:val="24"/>
          <w:highlight w:val="none"/>
          <w:lang w:val="en-US" w:eastAsia="zh-CN"/>
        </w:rPr>
        <w:t>31.5</w:t>
      </w:r>
      <w:r>
        <w:rPr>
          <w:rFonts w:hint="default" w:ascii="Times New Roman" w:hAnsi="Times New Roman" w:cs="Times New Roman"/>
          <w:snapToGrid w:val="0"/>
          <w:color w:val="auto"/>
          <w:kern w:val="21"/>
          <w:sz w:val="24"/>
          <w:szCs w:val="24"/>
          <w:highlight w:val="none"/>
          <w:lang w:val="zh-CN"/>
        </w:rPr>
        <w:t>kA短路电流水平选择。</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（3）配电装置布置型式</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kern w:val="21"/>
          <w:sz w:val="24"/>
          <w:szCs w:val="24"/>
          <w:highlight w:val="none"/>
        </w:rPr>
        <w:t>110kV配电装置采用</w:t>
      </w:r>
      <w:r>
        <w:rPr>
          <w:rFonts w:hint="default" w:ascii="Times New Roman" w:hAnsi="Times New Roman" w:cs="Times New Roman"/>
          <w:color w:val="auto"/>
          <w:sz w:val="24"/>
          <w:szCs w:val="24"/>
          <w:highlight w:val="none"/>
        </w:rPr>
        <w:t>户外软母线普通中型布置</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color w:val="auto"/>
          <w:sz w:val="24"/>
          <w:szCs w:val="24"/>
          <w:highlight w:val="none"/>
        </w:rPr>
        <w:t>向</w:t>
      </w:r>
      <w:r>
        <w:rPr>
          <w:rFonts w:hint="default" w:ascii="Times New Roman" w:hAnsi="Times New Roman" w:cs="Times New Roman"/>
          <w:color w:val="auto"/>
          <w:sz w:val="24"/>
          <w:szCs w:val="24"/>
          <w:highlight w:val="none"/>
          <w:lang w:val="en-US" w:eastAsia="zh-CN"/>
        </w:rPr>
        <w:t>北电缆</w:t>
      </w:r>
      <w:r>
        <w:rPr>
          <w:rFonts w:hint="default" w:ascii="Times New Roman" w:hAnsi="Times New Roman" w:cs="Times New Roman"/>
          <w:color w:val="auto"/>
          <w:sz w:val="24"/>
          <w:szCs w:val="24"/>
          <w:highlight w:val="none"/>
        </w:rPr>
        <w:t>出线。</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10kV 采用金属铠装移开式高压开关柜</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rPr>
        <w:t>真空断路器</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rPr>
        <w:t>户内</w:t>
      </w:r>
      <w:r>
        <w:rPr>
          <w:rFonts w:hint="default" w:ascii="Times New Roman" w:hAnsi="Times New Roman" w:cs="Times New Roman"/>
          <w:snapToGrid w:val="0"/>
          <w:color w:val="auto"/>
          <w:kern w:val="21"/>
          <w:sz w:val="24"/>
          <w:szCs w:val="24"/>
          <w:highlight w:val="none"/>
          <w:lang w:val="en-US" w:eastAsia="zh-CN"/>
        </w:rPr>
        <w:t>双</w:t>
      </w:r>
      <w:r>
        <w:rPr>
          <w:rFonts w:hint="default" w:ascii="Times New Roman" w:hAnsi="Times New Roman" w:cs="Times New Roman"/>
          <w:snapToGrid w:val="0"/>
          <w:color w:val="auto"/>
          <w:kern w:val="21"/>
          <w:sz w:val="24"/>
          <w:szCs w:val="24"/>
          <w:highlight w:val="none"/>
        </w:rPr>
        <w:t>列布置。</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（4）运行管理模式</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该站为</w:t>
      </w:r>
      <w:r>
        <w:rPr>
          <w:rFonts w:hint="default" w:ascii="Times New Roman" w:hAnsi="Times New Roman" w:cs="Times New Roman"/>
          <w:snapToGrid w:val="0"/>
          <w:color w:val="auto"/>
          <w:kern w:val="21"/>
          <w:sz w:val="24"/>
          <w:szCs w:val="24"/>
          <w:highlight w:val="none"/>
          <w:lang w:val="en-US" w:eastAsia="zh-CN"/>
        </w:rPr>
        <w:t>有</w:t>
      </w:r>
      <w:r>
        <w:rPr>
          <w:rFonts w:hint="default" w:ascii="Times New Roman" w:hAnsi="Times New Roman" w:cs="Times New Roman"/>
          <w:snapToGrid w:val="0"/>
          <w:color w:val="auto"/>
          <w:kern w:val="21"/>
          <w:sz w:val="24"/>
          <w:szCs w:val="24"/>
          <w:highlight w:val="none"/>
        </w:rPr>
        <w:t>人值班变电站，计算机监控系统</w:t>
      </w:r>
      <w:r>
        <w:rPr>
          <w:rFonts w:hint="default" w:ascii="Times New Roman" w:hAnsi="Times New Roman" w:cs="Times New Roman"/>
          <w:snapToGrid w:val="0"/>
          <w:color w:val="auto"/>
          <w:kern w:val="21"/>
          <w:sz w:val="24"/>
          <w:szCs w:val="24"/>
          <w:highlight w:val="none"/>
          <w:lang w:val="zh-CN"/>
        </w:rPr>
        <w:t>实现变电站可靠、合理、完善的监视、测量和控制，并具备遥控、遥调、遥信、遥测功能。</w:t>
      </w:r>
      <w:r>
        <w:rPr>
          <w:rFonts w:hint="default" w:ascii="Times New Roman" w:hAnsi="Times New Roman" w:cs="Times New Roman"/>
          <w:snapToGrid w:val="0"/>
          <w:color w:val="auto"/>
          <w:kern w:val="21"/>
          <w:sz w:val="24"/>
          <w:szCs w:val="24"/>
          <w:highlight w:val="none"/>
        </w:rPr>
        <w:t>同时具有与地调的通信功能，实现了</w:t>
      </w:r>
      <w:r>
        <w:rPr>
          <w:rFonts w:hint="default" w:ascii="Times New Roman" w:hAnsi="Times New Roman" w:cs="Times New Roman"/>
          <w:snapToGrid w:val="0"/>
          <w:color w:val="auto"/>
          <w:kern w:val="21"/>
          <w:sz w:val="24"/>
          <w:szCs w:val="24"/>
          <w:highlight w:val="none"/>
          <w:lang w:val="en-US" w:eastAsia="zh-CN"/>
        </w:rPr>
        <w:t>调度</w:t>
      </w:r>
      <w:r>
        <w:rPr>
          <w:rFonts w:hint="default" w:ascii="Times New Roman" w:hAnsi="Times New Roman" w:cs="Times New Roman"/>
          <w:snapToGrid w:val="0"/>
          <w:color w:val="auto"/>
          <w:kern w:val="21"/>
          <w:sz w:val="24"/>
          <w:szCs w:val="24"/>
          <w:highlight w:val="none"/>
        </w:rPr>
        <w:t>中心对本站的集控功能。</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（5）调度自动化</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110kV</w:t>
      </w:r>
      <w:r>
        <w:rPr>
          <w:rFonts w:hint="default" w:ascii="Times New Roman" w:hAnsi="Times New Roman" w:cs="Times New Roman"/>
          <w:snapToGrid w:val="0"/>
          <w:color w:val="auto"/>
          <w:kern w:val="21"/>
          <w:sz w:val="24"/>
          <w:szCs w:val="24"/>
          <w:highlight w:val="none"/>
          <w:lang w:val="en-US" w:eastAsia="zh-CN"/>
        </w:rPr>
        <w:t>青山</w:t>
      </w:r>
      <w:r>
        <w:rPr>
          <w:rFonts w:hint="default" w:ascii="Times New Roman" w:hAnsi="Times New Roman" w:cs="Times New Roman"/>
          <w:snapToGrid w:val="0"/>
          <w:color w:val="auto"/>
          <w:kern w:val="21"/>
          <w:sz w:val="24"/>
          <w:szCs w:val="24"/>
          <w:highlight w:val="none"/>
          <w:lang w:eastAsia="zh-CN"/>
        </w:rPr>
        <w:t>变</w:t>
      </w:r>
      <w:r>
        <w:rPr>
          <w:rFonts w:hint="default" w:ascii="Times New Roman" w:hAnsi="Times New Roman" w:cs="Times New Roman"/>
          <w:snapToGrid w:val="0"/>
          <w:color w:val="auto"/>
          <w:kern w:val="21"/>
          <w:sz w:val="24"/>
          <w:szCs w:val="24"/>
          <w:highlight w:val="none"/>
        </w:rPr>
        <w:t>由安</w:t>
      </w:r>
      <w:r>
        <w:rPr>
          <w:rFonts w:hint="default" w:ascii="Times New Roman" w:hAnsi="Times New Roman" w:cs="Times New Roman"/>
          <w:snapToGrid w:val="0"/>
          <w:color w:val="auto"/>
          <w:kern w:val="21"/>
          <w:sz w:val="24"/>
          <w:szCs w:val="24"/>
          <w:highlight w:val="none"/>
          <w:lang w:val="zh-CN"/>
        </w:rPr>
        <w:t>阳地调调控管理</w:t>
      </w:r>
      <w:r>
        <w:rPr>
          <w:rFonts w:hint="default" w:ascii="Times New Roman" w:hAnsi="Times New Roman" w:cs="Times New Roman"/>
          <w:snapToGrid w:val="0"/>
          <w:color w:val="auto"/>
          <w:kern w:val="21"/>
          <w:sz w:val="24"/>
          <w:szCs w:val="24"/>
          <w:highlight w:val="none"/>
        </w:rPr>
        <w:t>。远动系统功能已纳入监控系统，能够满足变电站远动信息的传输。</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（6）通信</w:t>
      </w:r>
    </w:p>
    <w:p>
      <w:pPr>
        <w:keepNext w:val="0"/>
        <w:keepLines w:val="0"/>
        <w:pageBreakBefore w:val="0"/>
        <w:kinsoku/>
        <w:wordWrap/>
        <w:overflowPunct/>
        <w:topLinePunct w:val="0"/>
        <w:autoSpaceDE/>
        <w:autoSpaceDN/>
        <w:bidi w:val="0"/>
        <w:snapToGrid/>
        <w:spacing w:line="460" w:lineRule="exact"/>
        <w:ind w:left="200" w:firstLine="480" w:firstLineChars="200"/>
        <w:jc w:val="lef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110kV</w:t>
      </w:r>
      <w:r>
        <w:rPr>
          <w:rFonts w:hint="default" w:ascii="Times New Roman" w:hAnsi="Times New Roman" w:cs="Times New Roman"/>
          <w:snapToGrid w:val="0"/>
          <w:color w:val="auto"/>
          <w:kern w:val="21"/>
          <w:sz w:val="24"/>
          <w:szCs w:val="24"/>
          <w:highlight w:val="none"/>
          <w:lang w:val="en-US" w:eastAsia="zh-CN"/>
        </w:rPr>
        <w:t>青山</w:t>
      </w:r>
      <w:r>
        <w:rPr>
          <w:rFonts w:hint="default" w:ascii="Times New Roman" w:hAnsi="Times New Roman" w:cs="Times New Roman"/>
          <w:snapToGrid w:val="0"/>
          <w:color w:val="auto"/>
          <w:kern w:val="21"/>
          <w:sz w:val="24"/>
          <w:szCs w:val="24"/>
          <w:highlight w:val="none"/>
          <w:lang w:eastAsia="zh-CN"/>
        </w:rPr>
        <w:t>变</w:t>
      </w:r>
      <w:r>
        <w:rPr>
          <w:rFonts w:hint="default" w:ascii="Times New Roman" w:hAnsi="Times New Roman" w:cs="Times New Roman"/>
          <w:snapToGrid w:val="0"/>
          <w:color w:val="auto"/>
          <w:kern w:val="21"/>
          <w:sz w:val="24"/>
          <w:szCs w:val="24"/>
          <w:highlight w:val="none"/>
        </w:rPr>
        <w:t>采用光纤通信，以支线形式接入</w:t>
      </w:r>
      <w:r>
        <w:rPr>
          <w:rFonts w:hint="default" w:ascii="Times New Roman" w:hAnsi="Times New Roman" w:cs="Times New Roman"/>
          <w:snapToGrid w:val="0"/>
          <w:color w:val="auto"/>
          <w:kern w:val="21"/>
          <w:sz w:val="24"/>
          <w:szCs w:val="24"/>
          <w:highlight w:val="none"/>
          <w:lang w:val="en-US" w:eastAsia="zh-CN"/>
        </w:rPr>
        <w:t>安彩高科</w:t>
      </w:r>
      <w:r>
        <w:rPr>
          <w:rFonts w:hint="default" w:ascii="Times New Roman" w:hAnsi="Times New Roman" w:cs="Times New Roman"/>
          <w:snapToGrid w:val="0"/>
          <w:color w:val="auto"/>
          <w:kern w:val="21"/>
          <w:sz w:val="24"/>
          <w:szCs w:val="24"/>
          <w:highlight w:val="none"/>
        </w:rPr>
        <w:t>变。</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 xml:space="preserve">    </w:t>
      </w:r>
      <w:r>
        <w:rPr>
          <w:rFonts w:hint="default" w:ascii="Times New Roman" w:hAnsi="Times New Roman" w:cs="Times New Roman"/>
          <w:snapToGrid w:val="0"/>
          <w:color w:val="auto"/>
          <w:kern w:val="21"/>
          <w:sz w:val="24"/>
          <w:szCs w:val="24"/>
          <w:highlight w:val="none"/>
        </w:rPr>
        <w:t>（7）总平面及竖向布置</w:t>
      </w:r>
    </w:p>
    <w:bookmarkEnd w:id="161"/>
    <w:bookmarkEnd w:id="162"/>
    <w:bookmarkEnd w:id="163"/>
    <w:bookmarkEnd w:id="164"/>
    <w:bookmarkEnd w:id="165"/>
    <w:bookmarkEnd w:id="166"/>
    <w:bookmarkEnd w:id="167"/>
    <w:bookmarkEnd w:id="168"/>
    <w:bookmarkEnd w:id="169"/>
    <w:bookmarkEnd w:id="170"/>
    <w:bookmarkEnd w:id="171"/>
    <w:bookmarkEnd w:id="172"/>
    <w:bookmarkEnd w:id="173"/>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bookmarkStart w:id="204" w:name="_Toc296174718"/>
      <w:bookmarkStart w:id="205" w:name="_Toc257641141"/>
      <w:bookmarkStart w:id="206" w:name="_Toc257036276"/>
      <w:bookmarkStart w:id="207" w:name="_Toc257641140"/>
      <w:bookmarkStart w:id="208" w:name="_Toc256848349"/>
      <w:bookmarkStart w:id="209" w:name="_Toc257036292"/>
      <w:bookmarkStart w:id="210" w:name="_Toc256848365"/>
      <w:r>
        <w:rPr>
          <w:rFonts w:hint="default" w:ascii="Times New Roman" w:hAnsi="Times New Roman" w:cs="Times New Roman"/>
          <w:snapToGrid w:val="0"/>
          <w:color w:val="auto"/>
          <w:kern w:val="21"/>
          <w:sz w:val="24"/>
          <w:szCs w:val="24"/>
          <w:highlight w:val="none"/>
          <w:lang w:val="zh-CN"/>
        </w:rPr>
        <w:t>变电站</w:t>
      </w:r>
      <w:r>
        <w:rPr>
          <w:rFonts w:hint="default" w:ascii="Times New Roman" w:hAnsi="Times New Roman" w:cs="Times New Roman"/>
          <w:snapToGrid w:val="0"/>
          <w:color w:val="auto"/>
          <w:kern w:val="21"/>
          <w:sz w:val="24"/>
          <w:szCs w:val="24"/>
          <w:highlight w:val="none"/>
        </w:rPr>
        <w:t>南北</w:t>
      </w:r>
      <w:r>
        <w:rPr>
          <w:rFonts w:hint="default" w:ascii="Times New Roman" w:hAnsi="Times New Roman" w:cs="Times New Roman"/>
          <w:snapToGrid w:val="0"/>
          <w:color w:val="auto"/>
          <w:kern w:val="21"/>
          <w:sz w:val="24"/>
          <w:szCs w:val="24"/>
          <w:highlight w:val="none"/>
          <w:lang w:val="zh-CN"/>
        </w:rPr>
        <w:t>长74.1m，</w:t>
      </w:r>
      <w:r>
        <w:rPr>
          <w:rFonts w:hint="default" w:ascii="Times New Roman" w:hAnsi="Times New Roman" w:cs="Times New Roman"/>
          <w:snapToGrid w:val="0"/>
          <w:color w:val="auto"/>
          <w:kern w:val="21"/>
          <w:sz w:val="24"/>
          <w:szCs w:val="24"/>
          <w:highlight w:val="none"/>
        </w:rPr>
        <w:t>东西</w:t>
      </w:r>
      <w:r>
        <w:rPr>
          <w:rFonts w:hint="default" w:ascii="Times New Roman" w:hAnsi="Times New Roman" w:cs="Times New Roman"/>
          <w:snapToGrid w:val="0"/>
          <w:color w:val="auto"/>
          <w:kern w:val="21"/>
          <w:sz w:val="24"/>
          <w:szCs w:val="24"/>
          <w:highlight w:val="none"/>
          <w:lang w:val="zh-CN"/>
        </w:rPr>
        <w:t>宽42m；站区围墙内占地面积0.3112</w:t>
      </w:r>
      <w:r>
        <w:rPr>
          <w:rFonts w:hint="default" w:ascii="Times New Roman" w:hAnsi="Times New Roman" w:cs="Times New Roman"/>
          <w:snapToGrid w:val="0"/>
          <w:color w:val="auto"/>
          <w:kern w:val="21"/>
          <w:sz w:val="24"/>
          <w:szCs w:val="24"/>
          <w:highlight w:val="none"/>
        </w:rPr>
        <w:t>h</w:t>
      </w:r>
      <w:r>
        <w:rPr>
          <w:rFonts w:hint="default" w:ascii="Times New Roman" w:hAnsi="Times New Roman" w:cs="Times New Roman"/>
          <w:snapToGrid w:val="0"/>
          <w:color w:val="auto"/>
          <w:kern w:val="21"/>
          <w:sz w:val="24"/>
          <w:szCs w:val="24"/>
          <w:highlight w:val="none"/>
          <w:lang w:val="zh-CN"/>
        </w:rPr>
        <w:t>m</w:t>
      </w:r>
      <w:r>
        <w:rPr>
          <w:rFonts w:hint="default" w:ascii="Times New Roman" w:hAnsi="Times New Roman" w:cs="Times New Roman"/>
          <w:snapToGrid w:val="0"/>
          <w:color w:val="auto"/>
          <w:kern w:val="21"/>
          <w:sz w:val="24"/>
          <w:szCs w:val="24"/>
          <w:highlight w:val="none"/>
          <w:vertAlign w:val="superscript"/>
          <w:lang w:val="zh-CN"/>
        </w:rPr>
        <w:t>2</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zh-CN"/>
        </w:rPr>
        <w:t>站区从北向</w:t>
      </w:r>
      <w:r>
        <w:rPr>
          <w:rFonts w:hint="default" w:ascii="Times New Roman" w:hAnsi="Times New Roman" w:cs="Times New Roman"/>
          <w:snapToGrid w:val="0"/>
          <w:color w:val="auto"/>
          <w:kern w:val="21"/>
          <w:sz w:val="24"/>
          <w:szCs w:val="24"/>
          <w:highlight w:val="none"/>
          <w:lang w:val="en-US" w:eastAsia="zh-CN"/>
        </w:rPr>
        <w:t>南</w:t>
      </w:r>
      <w:r>
        <w:rPr>
          <w:rFonts w:hint="default" w:ascii="Times New Roman" w:hAnsi="Times New Roman" w:cs="Times New Roman"/>
          <w:snapToGrid w:val="0"/>
          <w:color w:val="auto"/>
          <w:kern w:val="21"/>
          <w:sz w:val="24"/>
          <w:szCs w:val="24"/>
          <w:highlight w:val="none"/>
          <w:lang w:val="zh-CN"/>
        </w:rPr>
        <w:t>依次布置110kV配电装区、主变压器、配电装置室、</w:t>
      </w:r>
      <w:r>
        <w:rPr>
          <w:rFonts w:hint="default" w:ascii="Times New Roman" w:hAnsi="Times New Roman" w:cs="Times New Roman"/>
          <w:snapToGrid w:val="0"/>
          <w:color w:val="auto"/>
          <w:kern w:val="21"/>
          <w:sz w:val="24"/>
          <w:szCs w:val="24"/>
          <w:highlight w:val="none"/>
          <w:lang w:val="en-US" w:eastAsia="zh-CN"/>
        </w:rPr>
        <w:t>电容器组</w:t>
      </w:r>
      <w:r>
        <w:rPr>
          <w:rFonts w:hint="default" w:ascii="Times New Roman" w:hAnsi="Times New Roman" w:cs="Times New Roman"/>
          <w:snapToGrid w:val="0"/>
          <w:color w:val="auto"/>
          <w:kern w:val="21"/>
          <w:sz w:val="24"/>
          <w:szCs w:val="24"/>
          <w:highlight w:val="none"/>
          <w:lang w:val="zh-CN"/>
        </w:rPr>
        <w:t>；110kV向北出线；全站道路为H型布置，站区大门设在站区西围墙中部，进站道路从西侧厂区道路引接。</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变电站征地按最终规模完成。本期结合电网规划与负荷特性进行变电站增容。</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11" w:name="_Toc16950"/>
      <w:r>
        <w:rPr>
          <w:rFonts w:hint="default" w:ascii="Times New Roman" w:hAnsi="Times New Roman" w:cs="Times New Roman"/>
          <w:color w:val="auto"/>
          <w:kern w:val="21"/>
          <w:sz w:val="24"/>
          <w:szCs w:val="24"/>
          <w:highlight w:val="none"/>
        </w:rPr>
        <w:t>1.</w:t>
      </w:r>
      <w:r>
        <w:rPr>
          <w:rFonts w:hint="default" w:ascii="Times New Roman" w:hAnsi="Times New Roman" w:cs="Times New Roman"/>
          <w:color w:val="auto"/>
          <w:kern w:val="21"/>
          <w:sz w:val="24"/>
          <w:szCs w:val="24"/>
          <w:highlight w:val="none"/>
          <w:lang w:val="en-US" w:eastAsia="zh-CN"/>
        </w:rPr>
        <w:t>5</w:t>
      </w:r>
      <w:r>
        <w:rPr>
          <w:rFonts w:hint="default" w:ascii="Times New Roman" w:hAnsi="Times New Roman" w:cs="Times New Roman"/>
          <w:color w:val="auto"/>
          <w:kern w:val="21"/>
          <w:sz w:val="24"/>
          <w:szCs w:val="24"/>
          <w:highlight w:val="none"/>
        </w:rPr>
        <w:t xml:space="preserve">  技术经济指标</w:t>
      </w:r>
      <w:bookmarkEnd w:id="211"/>
    </w:p>
    <w:p>
      <w:pPr>
        <w:keepNext w:val="0"/>
        <w:keepLines w:val="0"/>
        <w:pageBreakBefore w:val="0"/>
        <w:suppressAutoHyphens/>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主要技术方案和经济指标统计见表1-</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w:t>
      </w:r>
    </w:p>
    <w:p>
      <w:pPr>
        <w:keepNext w:val="0"/>
        <w:keepLines w:val="0"/>
        <w:pageBreakBefore w:val="0"/>
        <w:suppressAutoHyphens/>
        <w:kinsoku/>
        <w:wordWrap/>
        <w:overflowPunct/>
        <w:topLinePunct w:val="0"/>
        <w:autoSpaceDE/>
        <w:autoSpaceDN/>
        <w:bidi w:val="0"/>
        <w:snapToGrid/>
        <w:spacing w:line="460" w:lineRule="exa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表1-</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 xml:space="preserve"> 主要技术方案和经济指标统计表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715"/>
        <w:gridCol w:w="4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12" w:space="0"/>
              <w:left w:val="single" w:color="000000" w:sz="12"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序号</w:t>
            </w:r>
          </w:p>
        </w:tc>
        <w:tc>
          <w:tcPr>
            <w:tcW w:w="4715" w:type="dxa"/>
            <w:tcBorders>
              <w:top w:val="single" w:color="000000" w:sz="12"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项       目</w:t>
            </w:r>
          </w:p>
        </w:tc>
        <w:tc>
          <w:tcPr>
            <w:tcW w:w="4021" w:type="dxa"/>
            <w:tcBorders>
              <w:top w:val="single" w:color="000000" w:sz="12" w:space="0"/>
              <w:left w:val="single" w:color="000000" w:sz="4" w:space="0"/>
              <w:bottom w:val="single" w:color="000000" w:sz="4" w:space="0"/>
              <w:right w:val="single" w:color="000000" w:sz="12"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技术方案和经济指标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主变压器规模，规划/已建/本期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cs="Times New Roman"/>
                <w:snapToGrid w:val="0"/>
                <w:color w:val="auto"/>
                <w:kern w:val="21"/>
                <w:sz w:val="24"/>
                <w:szCs w:val="24"/>
                <w:highlight w:val="none"/>
                <w:lang w:val="en-US" w:eastAsia="zh-CN"/>
              </w:rPr>
              <w:t>1×16+1×20/1×16+</w:t>
            </w: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0</w:t>
            </w:r>
            <w:r>
              <w:rPr>
                <w:rFonts w:hint="default" w:ascii="Times New Roman" w:hAnsi="Times New Roman" w:cs="Times New Roman"/>
                <w:snapToGrid w:val="0"/>
                <w:color w:val="auto"/>
                <w:kern w:val="21"/>
                <w:sz w:val="24"/>
                <w:szCs w:val="24"/>
                <w:highlight w:val="none"/>
                <w:lang w:val="en-US" w:eastAsia="zh-CN"/>
              </w:rPr>
              <w:t>/1×40+1×20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（高）电压出线规模，规划/已建/本期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（中）电压出线规模，规划/已建/本期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（低）电压出线规模，规划/已建/本期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20</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20</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2（注1）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低压侧电容器规模，规划/已建/本期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1×3.8Mvar+1×3Mvar</w:t>
            </w:r>
          </w:p>
          <w:p>
            <w:pP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/1×3.8Mvar+1×3Mvar</w:t>
            </w:r>
          </w:p>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/（1×3.8+1×4.8）Mvar+1×3Mvar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6</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（高）电气主接线，规划/已建/本期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单母线</w:t>
            </w:r>
            <w:r>
              <w:rPr>
                <w:rFonts w:hint="default" w:ascii="Times New Roman" w:hAnsi="Times New Roman" w:cs="Times New Roman"/>
                <w:snapToGrid w:val="0"/>
                <w:color w:val="auto"/>
                <w:kern w:val="21"/>
                <w:sz w:val="24"/>
                <w:szCs w:val="24"/>
                <w:highlight w:val="none"/>
              </w:rPr>
              <w:t>接线</w:t>
            </w:r>
            <w:r>
              <w:rPr>
                <w:rFonts w:hint="default" w:ascii="Times New Roman" w:hAnsi="Times New Roman" w:cs="Times New Roman"/>
                <w:snapToGrid w:val="0"/>
                <w:color w:val="auto"/>
                <w:kern w:val="21"/>
                <w:sz w:val="24"/>
                <w:szCs w:val="24"/>
                <w:highlight w:val="none"/>
                <w:lang w:val="en-US" w:eastAsia="zh-CN"/>
              </w:rPr>
              <w:t>/单母线</w:t>
            </w:r>
            <w:r>
              <w:rPr>
                <w:rFonts w:hint="default" w:ascii="Times New Roman" w:hAnsi="Times New Roman" w:cs="Times New Roman"/>
                <w:snapToGrid w:val="0"/>
                <w:color w:val="auto"/>
                <w:kern w:val="21"/>
                <w:sz w:val="24"/>
                <w:szCs w:val="24"/>
                <w:highlight w:val="none"/>
              </w:rPr>
              <w:t>接线</w:t>
            </w:r>
            <w:r>
              <w:rPr>
                <w:rFonts w:hint="default" w:ascii="Times New Roman" w:hAnsi="Times New Roman" w:cs="Times New Roman"/>
                <w:snapToGrid w:val="0"/>
                <w:color w:val="auto"/>
                <w:kern w:val="21"/>
                <w:sz w:val="24"/>
                <w:szCs w:val="24"/>
                <w:highlight w:val="none"/>
                <w:lang w:val="en-US" w:eastAsia="zh-CN"/>
              </w:rPr>
              <w:t>/单母线</w:t>
            </w:r>
            <w:r>
              <w:rPr>
                <w:rFonts w:hint="default" w:ascii="Times New Roman" w:hAnsi="Times New Roman" w:cs="Times New Roman"/>
                <w:snapToGrid w:val="0"/>
                <w:color w:val="auto"/>
                <w:kern w:val="21"/>
                <w:sz w:val="24"/>
                <w:szCs w:val="24"/>
                <w:highlight w:val="none"/>
              </w:rPr>
              <w:t>接线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（中）电气主接线，规划/已建/本期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8</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（低）电气主接线，规划/已建/本期</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单母分段接线/单母分段接线/单母分段接线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9</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（高）配电装置型式，断路器型式、数量</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AIS/ SF6</w:t>
            </w:r>
            <w:r>
              <w:rPr>
                <w:rFonts w:hint="default" w:ascii="Times New Roman" w:hAnsi="Times New Roman" w:eastAsia="宋体" w:cs="Times New Roman"/>
                <w:snapToGrid w:val="0"/>
                <w:color w:val="auto"/>
                <w:kern w:val="21"/>
                <w:sz w:val="24"/>
                <w:szCs w:val="24"/>
                <w:highlight w:val="none"/>
              </w:rPr>
              <w:t>断路器/</w:t>
            </w:r>
            <w:r>
              <w:rPr>
                <w:rFonts w:hint="default" w:ascii="Times New Roman" w:hAnsi="Times New Roman" w:eastAsia="宋体" w:cs="Times New Roman"/>
                <w:snapToGrid w:val="0"/>
                <w:color w:val="auto"/>
                <w:kern w:val="21"/>
                <w:sz w:val="24"/>
                <w:szCs w:val="24"/>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10</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（中）配电装置型式，断路器型式、数量</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（低）配电装置型式，断路器型式、数量</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户内开关柜/真空断路器/</w:t>
            </w:r>
            <w:r>
              <w:rPr>
                <w:rFonts w:hint="default" w:ascii="Times New Roman" w:hAnsi="Times New Roman" w:eastAsia="宋体" w:cs="Times New Roman"/>
                <w:snapToGrid w:val="0"/>
                <w:color w:val="auto"/>
                <w:kern w:val="21"/>
                <w:sz w:val="24"/>
                <w:szCs w:val="24"/>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12</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地区污秽等级</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uto"/>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13</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val="0"/>
              <w:spacing w:line="240" w:lineRule="auto"/>
              <w:ind w:firstLine="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运行管理模式</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pStyle w:val="6"/>
              <w:widowControl w:val="0"/>
              <w:spacing w:line="240" w:lineRule="auto"/>
              <w:ind w:firstLine="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有</w:t>
            </w:r>
            <w:r>
              <w:rPr>
                <w:rFonts w:hint="default" w:ascii="Times New Roman" w:hAnsi="Times New Roman" w:cs="Times New Roman"/>
                <w:snapToGrid w:val="0"/>
                <w:color w:val="auto"/>
                <w:kern w:val="21"/>
                <w:sz w:val="24"/>
                <w:szCs w:val="24"/>
                <w:highlight w:val="none"/>
                <w:lang w:val="en-US" w:eastAsia="zh-CN"/>
              </w:rPr>
              <w:t>人</w:t>
            </w:r>
            <w:r>
              <w:rPr>
                <w:rFonts w:hint="default" w:ascii="Times New Roman" w:hAnsi="Times New Roman" w:cs="Times New Roman"/>
                <w:snapToGrid w:val="0"/>
                <w:color w:val="auto"/>
                <w:kern w:val="21"/>
                <w:sz w:val="24"/>
                <w:szCs w:val="24"/>
                <w:highlight w:val="none"/>
              </w:rPr>
              <w:t>值班变电站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14</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val="0"/>
              <w:spacing w:line="240" w:lineRule="auto"/>
              <w:ind w:firstLine="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智能变电站（是/否）</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pStyle w:val="6"/>
              <w:widowControl w:val="0"/>
              <w:spacing w:line="240" w:lineRule="auto"/>
              <w:ind w:firstLine="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15</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变电站系统通信方式</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uto"/>
              <w:jc w:val="lef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光纤通信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16</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电力电缆（km）</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cs="Times New Roman"/>
                <w:snapToGrid w:val="0"/>
                <w:color w:val="auto"/>
                <w:kern w:val="21"/>
                <w:sz w:val="24"/>
                <w:szCs w:val="24"/>
                <w:highlight w:val="none"/>
              </w:rPr>
              <w:t>0.</w:t>
            </w:r>
            <w:r>
              <w:rPr>
                <w:rFonts w:hint="default" w:ascii="Times New Roman" w:hAnsi="Times New Roman" w:cs="Times New Roman"/>
                <w:snapToGrid w:val="0"/>
                <w:color w:val="auto"/>
                <w:kern w:val="21"/>
                <w:sz w:val="24"/>
                <w:szCs w:val="24"/>
                <w:highlight w:val="none"/>
                <w:lang w:val="en-US" w:eastAsia="zh-CN"/>
              </w:rPr>
              <w:t>22/0.14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17</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控制电缆（km）</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uto"/>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18</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光缆（km）</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uto"/>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19</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接地材料/长度（km）</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cs="Times New Roman"/>
                <w:snapToGrid w:val="0"/>
                <w:color w:val="auto"/>
                <w:kern w:val="21"/>
                <w:sz w:val="24"/>
                <w:szCs w:val="24"/>
                <w:highlight w:val="none"/>
              </w:rPr>
              <w:t>热镀锌扁钢/0.</w:t>
            </w:r>
            <w:r>
              <w:rPr>
                <w:rFonts w:hint="default" w:ascii="Times New Roman" w:hAnsi="Times New Roman" w:cs="Times New Roman"/>
                <w:snapToGrid w:val="0"/>
                <w:color w:val="auto"/>
                <w:kern w:val="21"/>
                <w:sz w:val="24"/>
                <w:szCs w:val="24"/>
                <w:highlight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20</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变电站总用地面积（hm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0.3348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21</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围墙内占地面积（hm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0.3112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22</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进站道路长度  新建/改造（m）</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23</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总土方工程量及土石比  挖方/填方（m</w:t>
            </w:r>
            <w:r>
              <w:rPr>
                <w:rFonts w:hint="default" w:ascii="Times New Roman" w:hAnsi="Times New Roman" w:cs="Times New Roman"/>
                <w:snapToGrid w:val="0"/>
                <w:color w:val="auto"/>
                <w:kern w:val="21"/>
                <w:sz w:val="24"/>
                <w:szCs w:val="24"/>
                <w:highlight w:val="none"/>
                <w:vertAlign w:val="superscript"/>
              </w:rPr>
              <w:t>3</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24</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弃土工程量/购土工程量（m</w:t>
            </w:r>
            <w:r>
              <w:rPr>
                <w:rFonts w:hint="default" w:ascii="Times New Roman" w:hAnsi="Times New Roman" w:cs="Times New Roman"/>
                <w:snapToGrid w:val="0"/>
                <w:color w:val="auto"/>
                <w:kern w:val="21"/>
                <w:sz w:val="24"/>
                <w:szCs w:val="24"/>
                <w:highlight w:val="none"/>
                <w:vertAlign w:val="superscript"/>
              </w:rPr>
              <w:t>3</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95</w:t>
            </w:r>
            <w:r>
              <w:rPr>
                <w:rFonts w:hint="default" w:ascii="Times New Roman" w:hAnsi="Times New Roman" w:cs="Times New Roman"/>
                <w:snapToGrid w:val="0"/>
                <w:color w:val="auto"/>
                <w:kern w:val="21"/>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25</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边坡工程量  护坡/挡土墙（m</w:t>
            </w:r>
            <w:r>
              <w:rPr>
                <w:rFonts w:hint="default" w:ascii="Times New Roman" w:hAnsi="Times New Roman" w:cs="Times New Roman"/>
                <w:snapToGrid w:val="0"/>
                <w:color w:val="auto"/>
                <w:kern w:val="21"/>
                <w:sz w:val="24"/>
                <w:szCs w:val="24"/>
                <w:highlight w:val="none"/>
                <w:vertAlign w:val="superscript"/>
              </w:rPr>
              <w:t>3</w:t>
            </w:r>
            <w:r>
              <w:rPr>
                <w:rFonts w:hint="default" w:ascii="Times New Roman" w:hAnsi="Times New Roman" w:cs="Times New Roman"/>
                <w:snapToGrid w:val="0"/>
                <w:color w:val="auto"/>
                <w:kern w:val="21"/>
                <w:sz w:val="24"/>
                <w:szCs w:val="24"/>
                <w:highlight w:val="none"/>
              </w:rPr>
              <w:t>/m</w:t>
            </w:r>
            <w:r>
              <w:rPr>
                <w:rFonts w:hint="default" w:ascii="Times New Roman" w:hAnsi="Times New Roman" w:cs="Times New Roman"/>
                <w:snapToGrid w:val="0"/>
                <w:color w:val="auto"/>
                <w:kern w:val="21"/>
                <w:sz w:val="24"/>
                <w:szCs w:val="24"/>
                <w:highlight w:val="none"/>
                <w:vertAlign w:val="superscript"/>
              </w:rPr>
              <w:t>3</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26</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站内道路面积  新建（m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27</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电缆沟长度  新建（m）</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28</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水源方案</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一期已建成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29</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站外供水/排水管线新建长度（m）</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30</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总建筑面积 新建（m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31</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配电装置室建筑 层数/面积</w:t>
            </w:r>
          </w:p>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(层/m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w:t>
            </w:r>
          </w:p>
        </w:tc>
        <w:tc>
          <w:tcPr>
            <w:tcW w:w="4021" w:type="dxa"/>
            <w:tcBorders>
              <w:top w:val="single" w:color="000000" w:sz="4" w:space="0"/>
              <w:left w:val="single" w:color="000000" w:sz="4" w:space="0"/>
              <w:bottom w:val="single" w:color="000000" w:sz="4" w:space="0"/>
              <w:right w:val="single" w:color="000000" w:sz="12"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2/464.6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32</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（高）电压构架结构型式及工程量（t）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钢管杆/3.55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33</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（中）电压构架结构型式及工程量（t）</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钢管杆/0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34</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地震动峰值加速度</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0.2g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35</w:t>
            </w:r>
          </w:p>
        </w:tc>
        <w:tc>
          <w:tcPr>
            <w:tcW w:w="47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地基处理方案和费用</w:t>
            </w:r>
          </w:p>
        </w:tc>
        <w:tc>
          <w:tcPr>
            <w:tcW w:w="4021" w:type="dxa"/>
            <w:tcBorders>
              <w:top w:val="single" w:color="000000" w:sz="4" w:space="0"/>
              <w:left w:val="single" w:color="000000" w:sz="4" w:space="0"/>
              <w:bottom w:val="single" w:color="000000" w:sz="4" w:space="0"/>
              <w:right w:val="single" w:color="000000" w:sz="12" w:space="0"/>
            </w:tcBorders>
            <w:noWrap w:val="0"/>
            <w:vAlign w:val="top"/>
          </w:tcPr>
          <w:p>
            <w:pP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8" w:type="dxa"/>
            <w:tcBorders>
              <w:top w:val="single" w:color="000000" w:sz="4" w:space="0"/>
              <w:left w:val="single" w:color="000000" w:sz="12" w:space="0"/>
              <w:bottom w:val="single" w:color="000000" w:sz="12" w:space="0"/>
              <w:right w:val="single" w:color="000000" w:sz="4" w:space="0"/>
            </w:tcBorders>
            <w:noWrap w:val="0"/>
            <w:vAlign w:val="center"/>
          </w:tcPr>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36</w:t>
            </w:r>
          </w:p>
        </w:tc>
        <w:tc>
          <w:tcPr>
            <w:tcW w:w="4715" w:type="dxa"/>
            <w:tcBorders>
              <w:top w:val="single" w:color="000000" w:sz="4" w:space="0"/>
              <w:left w:val="single" w:color="000000" w:sz="4" w:space="0"/>
              <w:bottom w:val="single" w:color="000000" w:sz="12" w:space="0"/>
              <w:right w:val="single" w:color="000000" w:sz="4" w:space="0"/>
            </w:tcBorders>
            <w:noWrap w:val="0"/>
            <w:vAlign w:val="center"/>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主变压器消防方式</w:t>
            </w:r>
          </w:p>
        </w:tc>
        <w:tc>
          <w:tcPr>
            <w:tcW w:w="4021" w:type="dxa"/>
            <w:tcBorders>
              <w:top w:val="single" w:color="000000" w:sz="4" w:space="0"/>
              <w:left w:val="single" w:color="000000" w:sz="4" w:space="0"/>
              <w:bottom w:val="single" w:color="000000" w:sz="12" w:space="0"/>
              <w:right w:val="single" w:color="000000" w:sz="12" w:space="0"/>
            </w:tcBorders>
            <w:noWrap w:val="0"/>
            <w:vAlign w:val="top"/>
          </w:tcPr>
          <w:p>
            <w:pPr>
              <w:spacing w:line="240" w:lineRule="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消防小间及消防砂坑</w:t>
            </w:r>
          </w:p>
        </w:tc>
      </w:tr>
    </w:tbl>
    <w:p>
      <w:pPr>
        <w:keepNext w:val="0"/>
        <w:keepLines w:val="0"/>
        <w:pageBreakBefore w:val="0"/>
        <w:kinsoku/>
        <w:wordWrap/>
        <w:overflowPunct/>
        <w:topLinePunct w:val="0"/>
        <w:autoSpaceDE/>
        <w:autoSpaceDN/>
        <w:bidi w:val="0"/>
        <w:snapToGrid/>
        <w:spacing w:line="460" w:lineRule="exact"/>
        <w:ind w:firstLine="560"/>
        <w:jc w:val="left"/>
        <w:textAlignment w:val="baseline"/>
        <w:rPr>
          <w:rFonts w:hint="default" w:ascii="Times New Roman" w:hAnsi="Times New Roman" w:eastAsia="宋体" w:cs="Times New Roman"/>
          <w:b/>
          <w:color w:val="auto"/>
          <w:kern w:val="21"/>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注1：拆除1#站用变，在此位置新增3#电容器出线柜，更换1#主进柜，更换出线柜2台</w:t>
      </w:r>
      <w:bookmarkStart w:id="212" w:name="_Toc11591"/>
      <w:bookmarkStart w:id="213" w:name="_Toc12551"/>
      <w:r>
        <w:rPr>
          <w:rFonts w:hint="default" w:ascii="Times New Roman" w:hAnsi="Times New Roman" w:eastAsia="宋体" w:cs="Times New Roman"/>
          <w:color w:val="auto"/>
          <w:sz w:val="24"/>
          <w:szCs w:val="24"/>
          <w:highlight w:val="none"/>
          <w:lang w:val="en-US" w:eastAsia="zh-CN"/>
        </w:rPr>
        <w:t>。</w:t>
      </w:r>
      <w:bookmarkEnd w:id="204"/>
      <w:bookmarkEnd w:id="212"/>
      <w:bookmarkEnd w:id="213"/>
      <w:bookmarkStart w:id="214" w:name="_Toc6300"/>
    </w:p>
    <w:p>
      <w:pPr>
        <w:keepNext w:val="0"/>
        <w:keepLines w:val="0"/>
        <w:pageBreakBefore w:val="0"/>
        <w:widowControl/>
        <w:tabs>
          <w:tab w:val="left" w:pos="432"/>
          <w:tab w:val="left" w:pos="4480"/>
        </w:tabs>
        <w:kinsoku/>
        <w:wordWrap/>
        <w:overflowPunct/>
        <w:topLinePunct w:val="0"/>
        <w:autoSpaceDE/>
        <w:autoSpaceDN/>
        <w:bidi w:val="0"/>
        <w:adjustRightInd w:val="0"/>
        <w:snapToGrid w:val="0"/>
        <w:spacing w:before="0" w:beforeLines="0" w:beforeAutospacing="0" w:after="0" w:afterLines="0" w:afterAutospacing="0" w:line="460" w:lineRule="exact"/>
        <w:ind w:right="0"/>
        <w:jc w:val="both"/>
        <w:textAlignment w:val="auto"/>
        <w:outlineLvl w:val="0"/>
        <w:rPr>
          <w:rFonts w:hint="default" w:ascii="Times New Roman" w:hAnsi="Times New Roman" w:cs="Times New Roman"/>
          <w:color w:val="auto"/>
          <w:kern w:val="21"/>
          <w:sz w:val="24"/>
          <w:szCs w:val="24"/>
          <w:highlight w:val="none"/>
        </w:rPr>
      </w:pPr>
      <w:r>
        <w:rPr>
          <w:rFonts w:hint="default" w:ascii="Times New Roman" w:hAnsi="Times New Roman" w:eastAsia="宋体" w:cs="Times New Roman"/>
          <w:b/>
          <w:color w:val="auto"/>
          <w:kern w:val="21"/>
          <w:sz w:val="24"/>
          <w:szCs w:val="24"/>
          <w:highlight w:val="none"/>
          <w:lang w:val="en-US" w:eastAsia="zh-CN"/>
        </w:rPr>
        <w:t>2  电力系统部分</w:t>
      </w:r>
      <w:bookmarkEnd w:id="214"/>
    </w:p>
    <w:p>
      <w:pPr>
        <w:keepNext w:val="0"/>
        <w:keepLines w:val="0"/>
        <w:pageBreakBefore w:val="0"/>
        <w:widowControl/>
        <w:tabs>
          <w:tab w:val="left" w:pos="360"/>
          <w:tab w:val="left" w:pos="540"/>
          <w:tab w:val="left" w:pos="567"/>
          <w:tab w:val="left" w:pos="897"/>
          <w:tab w:val="left" w:pos="4480"/>
        </w:tabs>
        <w:kinsoku/>
        <w:wordWrap/>
        <w:overflowPunct/>
        <w:topLinePunct w:val="0"/>
        <w:autoSpaceDE/>
        <w:autoSpaceDN/>
        <w:bidi w:val="0"/>
        <w:adjustRightInd w:val="0"/>
        <w:snapToGrid/>
        <w:spacing w:line="460" w:lineRule="exact"/>
        <w:textAlignment w:val="auto"/>
        <w:outlineLvl w:val="1"/>
        <w:rPr>
          <w:rFonts w:hint="default" w:ascii="Times New Roman" w:hAnsi="Times New Roman" w:eastAsia="宋体" w:cs="Times New Roman"/>
          <w:color w:val="auto"/>
          <w:kern w:val="21"/>
          <w:sz w:val="24"/>
          <w:szCs w:val="24"/>
          <w:highlight w:val="none"/>
        </w:rPr>
      </w:pPr>
      <w:bookmarkStart w:id="215" w:name="_Toc4671"/>
      <w:bookmarkStart w:id="216" w:name="_Toc14121"/>
      <w:r>
        <w:rPr>
          <w:rFonts w:hint="default" w:ascii="Times New Roman" w:hAnsi="Times New Roman" w:eastAsia="宋体" w:cs="Times New Roman"/>
          <w:color w:val="auto"/>
          <w:kern w:val="21"/>
          <w:sz w:val="24"/>
          <w:szCs w:val="24"/>
          <w:highlight w:val="none"/>
        </w:rPr>
        <w:t>2.1  接入系统方案</w:t>
      </w:r>
      <w:bookmarkEnd w:id="215"/>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en-US" w:eastAsia="zh-CN"/>
        </w:rPr>
        <w:t>相关系统电网现状示意图见图2-1：</w:t>
      </w:r>
    </w:p>
    <w:p>
      <w:pPr>
        <w:spacing w:line="240" w:lineRule="auto"/>
        <w:ind w:left="0" w:leftChars="0" w:rightChars="0" w:firstLine="0" w:firstLineChars="0"/>
        <w:jc w:val="center"/>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color w:val="auto"/>
          <w:sz w:val="24"/>
          <w:szCs w:val="24"/>
          <w:highlight w:val="none"/>
        </w:rPr>
        <w:drawing>
          <wp:inline distT="0" distB="0" distL="114300" distR="114300">
            <wp:extent cx="2724150" cy="2599055"/>
            <wp:effectExtent l="0" t="0" r="0" b="1079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2724150" cy="2599055"/>
                    </a:xfrm>
                    <a:prstGeom prst="rect">
                      <a:avLst/>
                    </a:prstGeom>
                    <a:noFill/>
                    <a:ln>
                      <a:noFill/>
                    </a:ln>
                  </pic:spPr>
                </pic:pic>
              </a:graphicData>
            </a:graphic>
          </wp:inline>
        </w:drawing>
      </w:r>
      <w:r>
        <w:rPr>
          <w:rFonts w:hint="default" w:ascii="Times New Roman" w:hAnsi="Times New Roman" w:cs="Times New Roman"/>
          <w:snapToGrid/>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Chars="0" w:firstLine="0" w:firstLineChars="0"/>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lang w:val="en-US" w:eastAsia="zh-CN"/>
        </w:rPr>
        <w:t>图2-1  相关电网现状图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（1）在</w:t>
      </w:r>
      <w:r>
        <w:rPr>
          <w:rFonts w:hint="default" w:ascii="Times New Roman" w:hAnsi="Times New Roman" w:eastAsia="宋体" w:cs="Times New Roman"/>
          <w:color w:val="auto"/>
          <w:sz w:val="24"/>
          <w:szCs w:val="24"/>
          <w:highlight w:val="none"/>
          <w:lang w:val="zh-CN"/>
        </w:rPr>
        <w:t>建</w:t>
      </w:r>
      <w:r>
        <w:rPr>
          <w:rFonts w:hint="default" w:ascii="Times New Roman" w:hAnsi="Times New Roman" w:cs="Times New Roman"/>
          <w:color w:val="auto"/>
          <w:sz w:val="24"/>
          <w:szCs w:val="24"/>
          <w:highlight w:val="none"/>
          <w:lang w:val="en-US" w:eastAsia="zh-CN"/>
        </w:rPr>
        <w:t>工程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lang w:val="zh-CN" w:eastAsia="zh-CN"/>
        </w:rPr>
        <w:t>建</w:t>
      </w:r>
      <w:r>
        <w:rPr>
          <w:rFonts w:hint="default" w:ascii="Times New Roman" w:hAnsi="Times New Roman" w:eastAsia="宋体" w:cs="Times New Roman"/>
          <w:color w:val="auto"/>
          <w:sz w:val="24"/>
          <w:szCs w:val="24"/>
          <w:highlight w:val="none"/>
          <w:lang w:val="en-US" w:eastAsia="zh-CN"/>
        </w:rPr>
        <w:t>杜家庵至香木变110kVⅡ回线路工程，长度为5.4km，导线型号为2×JL/G1A-240/30导线。</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CN"/>
        </w:rPr>
        <w:t>投运前相关电网</w:t>
      </w:r>
      <w:r>
        <w:rPr>
          <w:rFonts w:hint="default" w:ascii="Times New Roman" w:hAnsi="Times New Roman" w:eastAsia="宋体" w:cs="Times New Roman"/>
          <w:color w:val="auto"/>
          <w:sz w:val="24"/>
          <w:szCs w:val="24"/>
          <w:highlight w:val="none"/>
        </w:rPr>
        <w:t>示意图见图</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w:t>
      </w:r>
    </w:p>
    <w:p>
      <w:pPr>
        <w:pStyle w:val="48"/>
        <w:outlineLvl w:val="9"/>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drawing>
          <wp:anchor distT="0" distB="0" distL="114300" distR="114300" simplePos="0" relativeHeight="251663360" behindDoc="0" locked="0" layoutInCell="1" allowOverlap="1">
            <wp:simplePos x="0" y="0"/>
            <wp:positionH relativeFrom="page">
              <wp:posOffset>1841500</wp:posOffset>
            </wp:positionH>
            <wp:positionV relativeFrom="paragraph">
              <wp:posOffset>603885</wp:posOffset>
            </wp:positionV>
            <wp:extent cx="3587750" cy="2761615"/>
            <wp:effectExtent l="0" t="0" r="12700" b="635"/>
            <wp:wrapTopAndBottom/>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9"/>
                    <a:srcRect l="28810" t="12617" r="36827" b="21022"/>
                    <a:stretch>
                      <a:fillRect/>
                    </a:stretch>
                  </pic:blipFill>
                  <pic:spPr>
                    <a:xfrm>
                      <a:off x="0" y="0"/>
                      <a:ext cx="3587750" cy="276161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60" w:lineRule="exact"/>
        <w:ind w:left="0" w:leftChars="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图2-2 </w:t>
      </w:r>
      <w:r>
        <w:rPr>
          <w:rFonts w:hint="default" w:ascii="Times New Roman" w:hAnsi="Times New Roman" w:cs="Times New Roman"/>
          <w:color w:val="auto"/>
          <w:sz w:val="24"/>
          <w:szCs w:val="24"/>
          <w:highlight w:val="none"/>
          <w:lang w:val="zh-CN" w:eastAsia="zh-CN"/>
        </w:rPr>
        <w:t>投运前相关电网</w:t>
      </w:r>
      <w:r>
        <w:rPr>
          <w:rFonts w:hint="default" w:ascii="Times New Roman" w:hAnsi="Times New Roman" w:cs="Times New Roman"/>
          <w:color w:val="auto"/>
          <w:sz w:val="24"/>
          <w:szCs w:val="24"/>
          <w:highlight w:val="none"/>
          <w:lang w:val="en-US" w:eastAsia="zh-CN"/>
        </w:rPr>
        <w:t>示意图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（2）本期: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220kV杜家庵变至T接点（杜青线）的导线型号及长度为2×LGJ</w:t>
      </w:r>
      <w:r>
        <w:rPr>
          <w:rFonts w:hint="default" w:ascii="Times New Roman" w:hAnsi="Times New Roman" w:cs="Times New Roman"/>
          <w:color w:val="auto"/>
          <w:sz w:val="24"/>
          <w:szCs w:val="24"/>
          <w:highlight w:val="none"/>
          <w:lang w:val="zh-CN" w:eastAsia="zh-CN"/>
        </w:rPr>
        <w:t>-</w:t>
      </w:r>
      <w:r>
        <w:rPr>
          <w:rFonts w:hint="default" w:ascii="Times New Roman" w:hAnsi="Times New Roman" w:cs="Times New Roman"/>
          <w:color w:val="auto"/>
          <w:sz w:val="24"/>
          <w:szCs w:val="24"/>
          <w:highlight w:val="none"/>
          <w:lang w:val="en-US" w:eastAsia="zh-CN"/>
        </w:rPr>
        <w:t>24</w:t>
      </w:r>
      <w:r>
        <w:rPr>
          <w:rFonts w:hint="default" w:ascii="Times New Roman" w:hAnsi="Times New Roman" w:cs="Times New Roman"/>
          <w:color w:val="auto"/>
          <w:sz w:val="24"/>
          <w:szCs w:val="24"/>
          <w:highlight w:val="none"/>
          <w:lang w:val="zh-CN" w:eastAsia="zh-CN"/>
        </w:rPr>
        <w:t>0</w:t>
      </w:r>
      <w:r>
        <w:rPr>
          <w:rFonts w:hint="default" w:ascii="Times New Roman" w:hAnsi="Times New Roman" w:cs="Times New Roman"/>
          <w:color w:val="auto"/>
          <w:sz w:val="24"/>
          <w:szCs w:val="24"/>
          <w:highlight w:val="none"/>
          <w:lang w:val="en-US" w:eastAsia="zh-CN"/>
        </w:rPr>
        <w:t>/6.93。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110kV</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变至</w:t>
      </w:r>
      <w:r>
        <w:rPr>
          <w:rFonts w:hint="default" w:ascii="Times New Roman" w:hAnsi="Times New Roman" w:cs="Times New Roman"/>
          <w:color w:val="auto"/>
          <w:sz w:val="24"/>
          <w:szCs w:val="24"/>
          <w:highlight w:val="none"/>
          <w:lang w:val="en-US" w:eastAsia="zh-CN"/>
        </w:rPr>
        <w:t>T接点（杜青线）</w:t>
      </w:r>
      <w:r>
        <w:rPr>
          <w:rFonts w:hint="default" w:ascii="Times New Roman" w:hAnsi="Times New Roman" w:cs="Times New Roman"/>
          <w:color w:val="auto"/>
          <w:sz w:val="24"/>
          <w:szCs w:val="24"/>
          <w:highlight w:val="none"/>
        </w:rPr>
        <w:t>的导线型号及长度为2×LGJ</w:t>
      </w:r>
      <w:r>
        <w:rPr>
          <w:rFonts w:hint="default" w:ascii="Times New Roman" w:hAnsi="Times New Roman" w:cs="Times New Roman"/>
          <w:color w:val="auto"/>
          <w:sz w:val="24"/>
          <w:szCs w:val="24"/>
          <w:highlight w:val="none"/>
          <w:lang w:val="zh-CN"/>
        </w:rPr>
        <w:t>-</w:t>
      </w:r>
      <w:r>
        <w:rPr>
          <w:rFonts w:hint="default" w:ascii="Times New Roman" w:hAnsi="Times New Roman" w:cs="Times New Roman"/>
          <w:color w:val="auto"/>
          <w:sz w:val="24"/>
          <w:szCs w:val="24"/>
          <w:highlight w:val="none"/>
        </w:rPr>
        <w:t>24</w:t>
      </w:r>
      <w:r>
        <w:rPr>
          <w:rFonts w:hint="default" w:ascii="Times New Roman" w:hAnsi="Times New Roman" w:cs="Times New Roman"/>
          <w:color w:val="auto"/>
          <w:sz w:val="24"/>
          <w:szCs w:val="24"/>
          <w:highlight w:val="none"/>
          <w:lang w:val="zh-CN"/>
        </w:rPr>
        <w:t>0</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0.58</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和-400/0.2。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110kV</w:t>
      </w:r>
      <w:r>
        <w:rPr>
          <w:rFonts w:hint="default" w:ascii="Times New Roman" w:hAnsi="Times New Roman" w:cs="Times New Roman"/>
          <w:color w:val="auto"/>
          <w:sz w:val="24"/>
          <w:szCs w:val="24"/>
          <w:highlight w:val="none"/>
          <w:lang w:val="en-US" w:eastAsia="zh-CN"/>
        </w:rPr>
        <w:t>熙彩</w:t>
      </w:r>
      <w:r>
        <w:rPr>
          <w:rFonts w:hint="default" w:ascii="Times New Roman" w:hAnsi="Times New Roman" w:cs="Times New Roman"/>
          <w:color w:val="auto"/>
          <w:sz w:val="24"/>
          <w:szCs w:val="24"/>
          <w:highlight w:val="none"/>
        </w:rPr>
        <w:t>变至</w:t>
      </w:r>
      <w:r>
        <w:rPr>
          <w:rFonts w:hint="default" w:ascii="Times New Roman" w:hAnsi="Times New Roman" w:cs="Times New Roman"/>
          <w:color w:val="auto"/>
          <w:sz w:val="24"/>
          <w:szCs w:val="24"/>
          <w:highlight w:val="none"/>
          <w:lang w:val="en-US" w:eastAsia="zh-CN"/>
        </w:rPr>
        <w:t>T接点（杜青线）</w:t>
      </w:r>
      <w:r>
        <w:rPr>
          <w:rFonts w:hint="default" w:ascii="Times New Roman" w:hAnsi="Times New Roman" w:cs="Times New Roman"/>
          <w:color w:val="auto"/>
          <w:sz w:val="24"/>
          <w:szCs w:val="24"/>
          <w:highlight w:val="none"/>
        </w:rPr>
        <w:t>的导线型号及长度为2×LGJ</w:t>
      </w:r>
      <w:r>
        <w:rPr>
          <w:rFonts w:hint="default" w:ascii="Times New Roman" w:hAnsi="Times New Roman" w:cs="Times New Roman"/>
          <w:color w:val="auto"/>
          <w:sz w:val="24"/>
          <w:szCs w:val="24"/>
          <w:highlight w:val="none"/>
          <w:lang w:val="zh-CN"/>
        </w:rPr>
        <w:t>-</w:t>
      </w:r>
      <w:r>
        <w:rPr>
          <w:rFonts w:hint="default" w:ascii="Times New Roman" w:hAnsi="Times New Roman" w:cs="Times New Roman"/>
          <w:color w:val="auto"/>
          <w:sz w:val="24"/>
          <w:szCs w:val="24"/>
          <w:highlight w:val="none"/>
        </w:rPr>
        <w:t>24</w:t>
      </w:r>
      <w:r>
        <w:rPr>
          <w:rFonts w:hint="default" w:ascii="Times New Roman" w:hAnsi="Times New Roman" w:cs="Times New Roman"/>
          <w:color w:val="auto"/>
          <w:sz w:val="24"/>
          <w:szCs w:val="24"/>
          <w:highlight w:val="none"/>
          <w:lang w:val="zh-CN"/>
        </w:rPr>
        <w:t>0</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0.8</w:t>
      </w:r>
      <w:r>
        <w:rPr>
          <w:rFonts w:hint="default" w:ascii="Times New Roman" w:hAnsi="Times New Roman" w:cs="Times New Roman"/>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Times New Roman" w:hAnsi="Times New Roman" w:cs="Times New Roman"/>
          <w:color w:val="auto"/>
          <w:kern w:val="2"/>
          <w:sz w:val="24"/>
          <w:szCs w:val="24"/>
          <w:highlight w:val="none"/>
          <w:lang w:val="en-US" w:eastAsia="zh-CN"/>
        </w:rPr>
      </w:pPr>
      <w:r>
        <w:rPr>
          <w:rFonts w:hint="default" w:ascii="Times New Roman" w:hAnsi="Times New Roman" w:cs="Times New Roman"/>
          <w:color w:val="auto"/>
          <w:kern w:val="2"/>
          <w:sz w:val="24"/>
          <w:szCs w:val="24"/>
          <w:highlight w:val="none"/>
          <w:lang w:val="en-US" w:eastAsia="zh-CN"/>
        </w:rPr>
        <w:t xml:space="preserve">    110kV香木变至110kV熙彩变的导线型号及长度为</w:t>
      </w:r>
      <w:r>
        <w:rPr>
          <w:rFonts w:hint="default" w:ascii="Times New Roman" w:hAnsi="Times New Roman" w:cs="Times New Roman"/>
          <w:color w:val="auto"/>
          <w:kern w:val="2"/>
          <w:sz w:val="24"/>
          <w:szCs w:val="24"/>
          <w:highlight w:val="none"/>
          <w:lang w:val="zh-CN" w:eastAsia="zh-CN"/>
        </w:rPr>
        <w:t>-</w:t>
      </w:r>
      <w:r>
        <w:rPr>
          <w:rFonts w:hint="default" w:ascii="Times New Roman" w:hAnsi="Times New Roman" w:cs="Times New Roman"/>
          <w:color w:val="auto"/>
          <w:kern w:val="2"/>
          <w:sz w:val="24"/>
          <w:szCs w:val="24"/>
          <w:highlight w:val="none"/>
          <w:lang w:val="en-US" w:eastAsia="zh-CN"/>
        </w:rPr>
        <w:t>300/1.64。</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lang w:val="en-US" w:eastAsia="zh-CN"/>
        </w:rPr>
        <w:t>本期110kV青山变增容后接入系统见图2-3：</w:t>
      </w:r>
    </w:p>
    <w:p>
      <w:pPr>
        <w:spacing w:line="240" w:lineRule="auto"/>
        <w:jc w:val="center"/>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color w:val="auto"/>
          <w:sz w:val="24"/>
          <w:szCs w:val="24"/>
          <w:highlight w:val="none"/>
        </w:rPr>
        <w:drawing>
          <wp:inline distT="0" distB="0" distL="114300" distR="114300">
            <wp:extent cx="3081020" cy="2504440"/>
            <wp:effectExtent l="0" t="0" r="5080" b="1016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rcRect l="29779" r="27390" b="12592"/>
                    <a:stretch>
                      <a:fillRect/>
                    </a:stretch>
                  </pic:blipFill>
                  <pic:spPr>
                    <a:xfrm>
                      <a:off x="0" y="0"/>
                      <a:ext cx="3081020" cy="25044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napToGrid/>
        <w:spacing w:line="460" w:lineRule="exact"/>
        <w:ind w:firstLine="480" w:firstLineChars="20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图2-3  本期110kV青山变增容后接入系统图</w:t>
      </w:r>
    </w:p>
    <w:p>
      <w:pPr>
        <w:keepNext w:val="0"/>
        <w:keepLines w:val="0"/>
        <w:pageBreakBefore w:val="0"/>
        <w:kinsoku/>
        <w:wordWrap/>
        <w:overflowPunct/>
        <w:topLinePunct w:val="0"/>
        <w:autoSpaceDE/>
        <w:autoSpaceDN/>
        <w:bidi w:val="0"/>
        <w:snapToGrid/>
        <w:spacing w:line="460" w:lineRule="exact"/>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远期青山变与本期一致。</w:t>
      </w:r>
    </w:p>
    <w:bookmarkEnd w:id="216"/>
    <w:p>
      <w:pPr>
        <w:keepNext w:val="0"/>
        <w:keepLines w:val="0"/>
        <w:pageBreakBefore w:val="0"/>
        <w:widowControl/>
        <w:tabs>
          <w:tab w:val="left" w:pos="360"/>
          <w:tab w:val="left" w:pos="540"/>
          <w:tab w:val="left" w:pos="567"/>
          <w:tab w:val="left" w:pos="897"/>
          <w:tab w:val="left" w:pos="4480"/>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17" w:name="_Toc2071"/>
      <w:bookmarkStart w:id="218" w:name="_Toc797"/>
      <w:r>
        <w:rPr>
          <w:rFonts w:hint="default" w:ascii="Times New Roman" w:hAnsi="Times New Roman" w:cs="Times New Roman"/>
          <w:color w:val="auto"/>
          <w:kern w:val="21"/>
          <w:sz w:val="24"/>
          <w:szCs w:val="24"/>
          <w:highlight w:val="none"/>
        </w:rPr>
        <w:t>2.</w:t>
      </w:r>
      <w:r>
        <w:rPr>
          <w:rFonts w:hint="default" w:ascii="Times New Roman" w:hAnsi="Times New Roman" w:cs="Times New Roman"/>
          <w:color w:val="auto"/>
          <w:kern w:val="21"/>
          <w:sz w:val="24"/>
          <w:szCs w:val="24"/>
          <w:highlight w:val="none"/>
          <w:lang w:val="en-US" w:eastAsia="zh-CN"/>
        </w:rPr>
        <w:t>2</w:t>
      </w:r>
      <w:r>
        <w:rPr>
          <w:rFonts w:hint="default" w:ascii="Times New Roman" w:hAnsi="Times New Roman" w:cs="Times New Roman"/>
          <w:color w:val="auto"/>
          <w:kern w:val="21"/>
          <w:sz w:val="24"/>
          <w:szCs w:val="24"/>
          <w:highlight w:val="none"/>
        </w:rPr>
        <w:t xml:space="preserve">  主要电气参数</w:t>
      </w:r>
      <w:bookmarkEnd w:id="217"/>
      <w:bookmarkEnd w:id="218"/>
    </w:p>
    <w:p>
      <w:pPr>
        <w:keepNext w:val="0"/>
        <w:keepLines w:val="0"/>
        <w:pageBreakBefore w:val="0"/>
        <w:tabs>
          <w:tab w:val="left" w:pos="540"/>
        </w:tabs>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主要电气参数满足通用设备的选用要求。</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.1  主变参数</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现状：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zh-CN"/>
        </w:rPr>
        <w:t>主变压器：</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val="en-US" w:eastAsia="zh-CN"/>
        </w:rPr>
        <w:t xml:space="preserve">    </w:t>
      </w:r>
      <w:r>
        <w:rPr>
          <w:rFonts w:hint="default" w:ascii="Times New Roman" w:hAnsi="Times New Roman" w:cs="Times New Roman"/>
          <w:snapToGrid w:val="0"/>
          <w:color w:val="auto"/>
          <w:kern w:val="21"/>
          <w:sz w:val="24"/>
          <w:szCs w:val="24"/>
          <w:highlight w:val="none"/>
        </w:rPr>
        <w:t>1#主变压器采用</w:t>
      </w:r>
      <w:r>
        <w:rPr>
          <w:rFonts w:hint="default" w:ascii="Times New Roman" w:hAnsi="Times New Roman" w:cs="Times New Roman"/>
          <w:snapToGrid w:val="0"/>
          <w:color w:val="auto"/>
          <w:kern w:val="21"/>
          <w:sz w:val="24"/>
          <w:szCs w:val="24"/>
          <w:highlight w:val="none"/>
          <w:lang w:val="en-US" w:eastAsia="zh-CN"/>
        </w:rPr>
        <w:t>卧龙电气银川</w:t>
      </w:r>
      <w:r>
        <w:rPr>
          <w:rFonts w:hint="default" w:ascii="Times New Roman" w:hAnsi="Times New Roman" w:cs="Times New Roman"/>
          <w:snapToGrid w:val="0"/>
          <w:color w:val="auto"/>
          <w:kern w:val="21"/>
          <w:sz w:val="24"/>
          <w:szCs w:val="24"/>
          <w:highlight w:val="none"/>
        </w:rPr>
        <w:t>变压器</w:t>
      </w:r>
      <w:r>
        <w:rPr>
          <w:rFonts w:hint="default" w:ascii="Times New Roman" w:hAnsi="Times New Roman" w:cs="Times New Roman"/>
          <w:snapToGrid w:val="0"/>
          <w:color w:val="auto"/>
          <w:kern w:val="21"/>
          <w:sz w:val="24"/>
          <w:szCs w:val="24"/>
          <w:highlight w:val="none"/>
          <w:lang w:val="en-US" w:eastAsia="zh-CN"/>
        </w:rPr>
        <w:t>有限公司</w:t>
      </w:r>
      <w:r>
        <w:rPr>
          <w:rFonts w:hint="default" w:ascii="Times New Roman" w:hAnsi="Times New Roman" w:cs="Times New Roman"/>
          <w:snapToGrid w:val="0"/>
          <w:color w:val="auto"/>
          <w:kern w:val="21"/>
          <w:sz w:val="24"/>
          <w:szCs w:val="24"/>
          <w:highlight w:val="none"/>
        </w:rPr>
        <w:t>生产的三相双绕组有载调压自冷变压器</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生产于2016年6月。</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型号：SZ1</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16</w:t>
      </w:r>
      <w:r>
        <w:rPr>
          <w:rFonts w:hint="default" w:ascii="Times New Roman" w:hAnsi="Times New Roman" w:cs="Times New Roman"/>
          <w:snapToGrid w:val="0"/>
          <w:color w:val="auto"/>
          <w:kern w:val="21"/>
          <w:sz w:val="24"/>
          <w:szCs w:val="24"/>
          <w:highlight w:val="none"/>
        </w:rPr>
        <w:t>000/110</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容量比：</w:t>
      </w:r>
      <w:r>
        <w:rPr>
          <w:rFonts w:hint="default" w:ascii="Times New Roman" w:hAnsi="Times New Roman" w:cs="Times New Roman"/>
          <w:snapToGrid w:val="0"/>
          <w:color w:val="auto"/>
          <w:kern w:val="21"/>
          <w:sz w:val="24"/>
          <w:szCs w:val="24"/>
          <w:highlight w:val="none"/>
          <w:lang w:val="en-US" w:eastAsia="zh-CN"/>
        </w:rPr>
        <w:t>16</w:t>
      </w:r>
      <w:r>
        <w:rPr>
          <w:rFonts w:hint="default" w:ascii="Times New Roman" w:hAnsi="Times New Roman" w:cs="Times New Roman"/>
          <w:snapToGrid w:val="0"/>
          <w:color w:val="auto"/>
          <w:kern w:val="21"/>
          <w:sz w:val="24"/>
          <w:szCs w:val="24"/>
          <w:highlight w:val="none"/>
        </w:rPr>
        <w:t>000/</w:t>
      </w:r>
      <w:r>
        <w:rPr>
          <w:rFonts w:hint="default" w:ascii="Times New Roman" w:hAnsi="Times New Roman" w:cs="Times New Roman"/>
          <w:snapToGrid w:val="0"/>
          <w:color w:val="auto"/>
          <w:kern w:val="21"/>
          <w:sz w:val="24"/>
          <w:szCs w:val="24"/>
          <w:highlight w:val="none"/>
          <w:lang w:val="en-US" w:eastAsia="zh-CN"/>
        </w:rPr>
        <w:t>16</w:t>
      </w:r>
      <w:r>
        <w:rPr>
          <w:rFonts w:hint="default" w:ascii="Times New Roman" w:hAnsi="Times New Roman" w:cs="Times New Roman"/>
          <w:snapToGrid w:val="0"/>
          <w:color w:val="auto"/>
          <w:kern w:val="21"/>
          <w:sz w:val="24"/>
          <w:szCs w:val="24"/>
          <w:highlight w:val="none"/>
        </w:rPr>
        <w:t>000kVA</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电压比：110±8×1.25%/10.5kV</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接线组别：YN，d11</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阻抗电压：Ud%=</w:t>
      </w:r>
      <w:r>
        <w:rPr>
          <w:rFonts w:hint="default" w:ascii="Times New Roman" w:hAnsi="Times New Roman" w:cs="Times New Roman"/>
          <w:snapToGrid w:val="0"/>
          <w:color w:val="auto"/>
          <w:kern w:val="21"/>
          <w:sz w:val="24"/>
          <w:szCs w:val="24"/>
          <w:highlight w:val="none"/>
          <w:lang w:val="en-US" w:eastAsia="zh-CN"/>
        </w:rPr>
        <w:t>10.66</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rPr>
        <w:t xml:space="preserve">    2#主变压器采用</w:t>
      </w:r>
      <w:r>
        <w:rPr>
          <w:rFonts w:hint="default" w:ascii="Times New Roman" w:hAnsi="Times New Roman" w:cs="Times New Roman"/>
          <w:snapToGrid w:val="0"/>
          <w:color w:val="auto"/>
          <w:kern w:val="21"/>
          <w:sz w:val="24"/>
          <w:szCs w:val="24"/>
          <w:highlight w:val="none"/>
          <w:lang w:val="en-US" w:eastAsia="zh-CN"/>
        </w:rPr>
        <w:t>银川卧龙</w:t>
      </w:r>
      <w:r>
        <w:rPr>
          <w:rFonts w:hint="default" w:ascii="Times New Roman" w:hAnsi="Times New Roman" w:cs="Times New Roman"/>
          <w:snapToGrid w:val="0"/>
          <w:color w:val="auto"/>
          <w:kern w:val="21"/>
          <w:sz w:val="24"/>
          <w:szCs w:val="24"/>
          <w:highlight w:val="none"/>
        </w:rPr>
        <w:t>变压器</w:t>
      </w:r>
      <w:r>
        <w:rPr>
          <w:rFonts w:hint="default" w:ascii="Times New Roman" w:hAnsi="Times New Roman" w:cs="Times New Roman"/>
          <w:snapToGrid w:val="0"/>
          <w:color w:val="auto"/>
          <w:kern w:val="21"/>
          <w:sz w:val="24"/>
          <w:szCs w:val="24"/>
          <w:highlight w:val="none"/>
          <w:lang w:val="en-US" w:eastAsia="zh-CN"/>
        </w:rPr>
        <w:t>有限公司</w:t>
      </w:r>
      <w:r>
        <w:rPr>
          <w:rFonts w:hint="default" w:ascii="Times New Roman" w:hAnsi="Times New Roman" w:cs="Times New Roman"/>
          <w:snapToGrid w:val="0"/>
          <w:color w:val="auto"/>
          <w:kern w:val="21"/>
          <w:sz w:val="24"/>
          <w:szCs w:val="24"/>
          <w:highlight w:val="none"/>
        </w:rPr>
        <w:t>生产的三相双绕组有载调压</w:t>
      </w:r>
      <w:r>
        <w:rPr>
          <w:rFonts w:hint="default" w:ascii="Times New Roman" w:hAnsi="Times New Roman" w:cs="Times New Roman"/>
          <w:snapToGrid w:val="0"/>
          <w:color w:val="auto"/>
          <w:kern w:val="21"/>
          <w:sz w:val="24"/>
          <w:szCs w:val="24"/>
          <w:highlight w:val="none"/>
          <w:lang w:val="en-US" w:eastAsia="zh-CN"/>
        </w:rPr>
        <w:t>自</w:t>
      </w:r>
      <w:r>
        <w:rPr>
          <w:rFonts w:hint="default" w:ascii="Times New Roman" w:hAnsi="Times New Roman" w:cs="Times New Roman"/>
          <w:snapToGrid w:val="0"/>
          <w:color w:val="auto"/>
          <w:kern w:val="21"/>
          <w:sz w:val="24"/>
          <w:szCs w:val="24"/>
          <w:highlight w:val="none"/>
        </w:rPr>
        <w:t>冷变压器</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生产于2010年6月。</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型号：SZ</w:t>
      </w:r>
      <w:r>
        <w:rPr>
          <w:rFonts w:hint="default" w:ascii="Times New Roman" w:hAnsi="Times New Roman" w:cs="Times New Roman"/>
          <w:snapToGrid w:val="0"/>
          <w:color w:val="auto"/>
          <w:kern w:val="21"/>
          <w:sz w:val="24"/>
          <w:szCs w:val="24"/>
          <w:highlight w:val="none"/>
          <w:lang w:val="en-US" w:eastAsia="zh-CN"/>
        </w:rPr>
        <w:t>11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200</w:t>
      </w:r>
      <w:r>
        <w:rPr>
          <w:rFonts w:hint="default" w:ascii="Times New Roman" w:hAnsi="Times New Roman" w:cs="Times New Roman"/>
          <w:snapToGrid w:val="0"/>
          <w:color w:val="auto"/>
          <w:kern w:val="21"/>
          <w:sz w:val="24"/>
          <w:szCs w:val="24"/>
          <w:highlight w:val="none"/>
        </w:rPr>
        <w:t>00/110</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容量比： </w:t>
      </w:r>
      <w:r>
        <w:rPr>
          <w:rFonts w:hint="default" w:ascii="Times New Roman" w:hAnsi="Times New Roman" w:cs="Times New Roman"/>
          <w:snapToGrid w:val="0"/>
          <w:color w:val="auto"/>
          <w:kern w:val="21"/>
          <w:sz w:val="24"/>
          <w:szCs w:val="24"/>
          <w:highlight w:val="none"/>
          <w:lang w:val="en-US" w:eastAsia="zh-CN"/>
        </w:rPr>
        <w:t>200</w:t>
      </w:r>
      <w:r>
        <w:rPr>
          <w:rFonts w:hint="default" w:ascii="Times New Roman" w:hAnsi="Times New Roman" w:cs="Times New Roman"/>
          <w:snapToGrid w:val="0"/>
          <w:color w:val="auto"/>
          <w:kern w:val="21"/>
          <w:sz w:val="24"/>
          <w:szCs w:val="24"/>
          <w:highlight w:val="none"/>
        </w:rPr>
        <w:t>00/</w:t>
      </w:r>
      <w:r>
        <w:rPr>
          <w:rFonts w:hint="default" w:ascii="Times New Roman" w:hAnsi="Times New Roman" w:cs="Times New Roman"/>
          <w:snapToGrid w:val="0"/>
          <w:color w:val="auto"/>
          <w:kern w:val="21"/>
          <w:sz w:val="24"/>
          <w:szCs w:val="24"/>
          <w:highlight w:val="none"/>
          <w:lang w:val="en-US" w:eastAsia="zh-CN"/>
        </w:rPr>
        <w:t>200</w:t>
      </w:r>
      <w:r>
        <w:rPr>
          <w:rFonts w:hint="default" w:ascii="Times New Roman" w:hAnsi="Times New Roman" w:cs="Times New Roman"/>
          <w:snapToGrid w:val="0"/>
          <w:color w:val="auto"/>
          <w:kern w:val="21"/>
          <w:sz w:val="24"/>
          <w:szCs w:val="24"/>
          <w:highlight w:val="none"/>
        </w:rPr>
        <w:t>00kVA</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电压比：110±8×1.25%/10.5kV</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接线组别：YN，d11</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rPr>
        <w:t>阻抗电压：Ud%=</w:t>
      </w:r>
      <w:r>
        <w:rPr>
          <w:rFonts w:hint="default" w:ascii="Times New Roman" w:hAnsi="Times New Roman" w:cs="Times New Roman"/>
          <w:snapToGrid w:val="0"/>
          <w:color w:val="auto"/>
          <w:kern w:val="21"/>
          <w:sz w:val="24"/>
          <w:szCs w:val="24"/>
          <w:highlight w:val="none"/>
          <w:lang w:val="en-US" w:eastAsia="zh-CN"/>
        </w:rPr>
        <w:t>10.64</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本期：</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baseline"/>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en-US" w:eastAsia="zh-CN"/>
        </w:rPr>
        <w:t>（2）</w:t>
      </w:r>
      <w:r>
        <w:rPr>
          <w:rFonts w:hint="default" w:ascii="Times New Roman" w:hAnsi="Times New Roman" w:eastAsia="宋体" w:cs="Times New Roman"/>
          <w:color w:val="auto"/>
          <w:kern w:val="21"/>
          <w:sz w:val="24"/>
          <w:szCs w:val="24"/>
          <w:highlight w:val="none"/>
          <w:lang w:val="zh-CN"/>
        </w:rPr>
        <w:t>主变压器：</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更换的1#</w:t>
      </w:r>
      <w:r>
        <w:rPr>
          <w:rFonts w:hint="default" w:ascii="Times New Roman" w:hAnsi="Times New Roman" w:eastAsia="宋体" w:cs="Times New Roman"/>
          <w:color w:val="auto"/>
          <w:sz w:val="24"/>
          <w:szCs w:val="24"/>
          <w:highlight w:val="none"/>
        </w:rPr>
        <w:t>主变选用SZ11型三相</w:t>
      </w:r>
      <w:r>
        <w:rPr>
          <w:rFonts w:hint="default" w:ascii="Times New Roman" w:hAnsi="Times New Roman" w:eastAsia="宋体" w:cs="Times New Roman"/>
          <w:color w:val="auto"/>
          <w:sz w:val="24"/>
          <w:szCs w:val="24"/>
          <w:highlight w:val="none"/>
          <w:lang w:val="en-US" w:eastAsia="zh-CN"/>
        </w:rPr>
        <w:t>双</w:t>
      </w:r>
      <w:r>
        <w:rPr>
          <w:rFonts w:hint="default" w:ascii="Times New Roman" w:hAnsi="Times New Roman" w:eastAsia="宋体" w:cs="Times New Roman"/>
          <w:color w:val="auto"/>
          <w:sz w:val="24"/>
          <w:szCs w:val="24"/>
          <w:highlight w:val="none"/>
        </w:rPr>
        <w:t>绕组自冷有载调压变压器，选择结果见表</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w:t>
      </w:r>
    </w:p>
    <w:p>
      <w:pPr>
        <w:keepNext w:val="0"/>
        <w:keepLines w:val="0"/>
        <w:pageBreakBefore w:val="0"/>
        <w:widowControl w:val="0"/>
        <w:tabs>
          <w:tab w:val="left" w:pos="1800"/>
        </w:tabs>
        <w:kinsoku/>
        <w:wordWrap/>
        <w:overflowPunct/>
        <w:topLinePunct w:val="0"/>
        <w:autoSpaceDE/>
        <w:autoSpaceDN/>
        <w:bidi w:val="0"/>
        <w:adjustRightInd/>
        <w:snapToGrid/>
        <w:spacing w:line="4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表</w:t>
      </w:r>
      <w:r>
        <w:rPr>
          <w:rFonts w:hint="default" w:ascii="Times New Roman" w:hAnsi="Times New Roman" w:cs="Times New Roman"/>
          <w:color w:val="auto"/>
          <w:sz w:val="24"/>
          <w:szCs w:val="24"/>
          <w:highlight w:val="none"/>
          <w:lang w:val="en-US" w:eastAsia="zh-CN"/>
        </w:rPr>
        <w:t>2-2</w:t>
      </w:r>
      <w:r>
        <w:rPr>
          <w:rFonts w:hint="default" w:ascii="Times New Roman" w:hAnsi="Times New Roman" w:cs="Times New Roman"/>
          <w:color w:val="auto"/>
          <w:sz w:val="24"/>
          <w:szCs w:val="24"/>
          <w:highlight w:val="none"/>
        </w:rPr>
        <w:t xml:space="preserve"> 主变压器参数表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7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4" w:type="dxa"/>
            <w:tcBorders>
              <w:tl2br w:val="nil"/>
              <w:tr2bl w:val="nil"/>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tc>
        <w:tc>
          <w:tcPr>
            <w:tcW w:w="7410" w:type="dxa"/>
            <w:tcBorders>
              <w:tl2br w:val="nil"/>
              <w:tr2bl w:val="nil"/>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4" w:type="dxa"/>
            <w:tcBorders>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型号</w:t>
            </w:r>
          </w:p>
        </w:tc>
        <w:tc>
          <w:tcPr>
            <w:tcW w:w="741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SZ11-40000/110</w:t>
            </w:r>
            <w:r>
              <w:rPr>
                <w:rFonts w:hint="default" w:ascii="Times New Roman" w:hAnsi="Times New Roman" w:cs="Times New Roman"/>
                <w:snapToGrid w:val="0"/>
                <w:color w:val="auto"/>
                <w:kern w:val="21"/>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4"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容量比</w:t>
            </w:r>
          </w:p>
        </w:tc>
        <w:tc>
          <w:tcPr>
            <w:tcW w:w="7410" w:type="dxa"/>
            <w:tcBorders>
              <w:top w:val="single" w:color="auto" w:sz="4" w:space="0"/>
              <w:bottom w:val="single" w:color="auto" w:sz="4" w:space="0"/>
            </w:tcBorders>
            <w:noWrap w:val="0"/>
            <w:vAlign w:val="center"/>
          </w:tcPr>
          <w:p>
            <w:pPr>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rPr>
              <w:t>000/</w:t>
            </w:r>
            <w:r>
              <w:rPr>
                <w:rFonts w:hint="default" w:ascii="Times New Roman" w:hAnsi="Times New Roman" w:eastAsia="宋体"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rPr>
              <w:t>000kVA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4"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额定电压</w:t>
            </w:r>
          </w:p>
        </w:tc>
        <w:tc>
          <w:tcPr>
            <w:tcW w:w="7410" w:type="dxa"/>
            <w:tcBorders>
              <w:top w:val="single" w:color="auto" w:sz="4" w:space="0"/>
              <w:bottom w:val="single" w:color="auto" w:sz="4" w:space="0"/>
            </w:tcBorders>
            <w:noWrap w:val="0"/>
            <w:vAlign w:val="center"/>
          </w:tcPr>
          <w:p>
            <w:pPr>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110±8×1.25%/10.5kV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4"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接线组别</w:t>
            </w:r>
          </w:p>
        </w:tc>
        <w:tc>
          <w:tcPr>
            <w:tcW w:w="7410" w:type="dxa"/>
            <w:tcBorders>
              <w:top w:val="single" w:color="auto" w:sz="4" w:space="0"/>
              <w:bottom w:val="single" w:color="auto" w:sz="4" w:space="0"/>
            </w:tcBorders>
            <w:noWrap w:val="0"/>
            <w:vAlign w:val="center"/>
          </w:tcPr>
          <w:p>
            <w:pPr>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YN，d11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4" w:type="dxa"/>
            <w:tcBorders>
              <w:top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阻抗电压</w:t>
            </w:r>
          </w:p>
        </w:tc>
        <w:tc>
          <w:tcPr>
            <w:tcW w:w="7410" w:type="dxa"/>
            <w:tcBorders>
              <w:top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Ud%=1</w:t>
            </w:r>
            <w:r>
              <w:rPr>
                <w:rFonts w:hint="default" w:ascii="Times New Roman" w:hAnsi="Times New Roman" w:eastAsia="宋体" w:cs="Times New Roman"/>
                <w:color w:val="auto"/>
                <w:sz w:val="24"/>
                <w:szCs w:val="24"/>
                <w:highlight w:val="none"/>
                <w:lang w:val="en-US" w:eastAsia="zh-CN"/>
              </w:rPr>
              <w:t>2</w:t>
            </w:r>
          </w:p>
        </w:tc>
      </w:tr>
    </w:tbl>
    <w:p>
      <w:pPr>
        <w:keepNext w:val="0"/>
        <w:keepLines w:val="0"/>
        <w:pageBreakBefore w:val="0"/>
        <w:widowControl/>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.2  电气主接线</w:t>
      </w:r>
    </w:p>
    <w:p>
      <w:pPr>
        <w:keepNext w:val="0"/>
        <w:keepLines w:val="0"/>
        <w:pageBreakBefore w:val="0"/>
        <w:kinsoku/>
        <w:wordWrap/>
        <w:overflowPunct/>
        <w:topLinePunct w:val="0"/>
        <w:autoSpaceDE/>
        <w:autoSpaceDN/>
        <w:bidi w:val="0"/>
        <w:adjustRightInd w:val="0"/>
        <w:snapToGrid/>
        <w:spacing w:line="460" w:lineRule="exact"/>
        <w:ind w:firstLine="480" w:firstLineChars="200"/>
        <w:jc w:val="both"/>
        <w:textAlignment w:val="auto"/>
        <w:rPr>
          <w:rFonts w:hint="default" w:ascii="Times New Roman" w:hAnsi="Times New Roman" w:cs="Times New Roman"/>
          <w:color w:val="auto"/>
          <w:kern w:val="21"/>
          <w:sz w:val="24"/>
          <w:szCs w:val="24"/>
          <w:highlight w:val="none"/>
          <w:lang w:val="en-US" w:eastAsia="zh-CN"/>
        </w:rPr>
      </w:pPr>
      <w:r>
        <w:rPr>
          <w:rFonts w:hint="default" w:ascii="Times New Roman" w:hAnsi="Times New Roman" w:cs="Times New Roman"/>
          <w:color w:val="auto"/>
          <w:sz w:val="24"/>
          <w:szCs w:val="24"/>
          <w:highlight w:val="none"/>
        </w:rPr>
        <w:t>110kV规划采用</w:t>
      </w:r>
      <w:r>
        <w:rPr>
          <w:rFonts w:hint="default" w:ascii="Times New Roman" w:hAnsi="Times New Roman" w:cs="Times New Roman"/>
          <w:color w:val="auto"/>
          <w:sz w:val="24"/>
          <w:szCs w:val="24"/>
          <w:highlight w:val="none"/>
          <w:lang w:val="en-US" w:eastAsia="zh-CN"/>
        </w:rPr>
        <w:t>单母</w:t>
      </w:r>
      <w:r>
        <w:rPr>
          <w:rFonts w:hint="default" w:ascii="Times New Roman" w:hAnsi="Times New Roman" w:cs="Times New Roman"/>
          <w:color w:val="auto"/>
          <w:kern w:val="21"/>
          <w:sz w:val="24"/>
          <w:szCs w:val="24"/>
          <w:highlight w:val="none"/>
          <w:lang w:val="en-US" w:eastAsia="zh-CN"/>
        </w:rPr>
        <w:t>线</w:t>
      </w:r>
      <w:r>
        <w:rPr>
          <w:rFonts w:hint="default" w:ascii="Times New Roman" w:hAnsi="Times New Roman" w:cs="Times New Roman"/>
          <w:color w:val="auto"/>
          <w:kern w:val="21"/>
          <w:sz w:val="24"/>
          <w:szCs w:val="24"/>
          <w:highlight w:val="none"/>
        </w:rPr>
        <w:t>出线2回</w:t>
      </w:r>
      <w:r>
        <w:rPr>
          <w:rFonts w:hint="default" w:ascii="Times New Roman" w:hAnsi="Times New Roman" w:cs="Times New Roman"/>
          <w:color w:val="auto"/>
          <w:kern w:val="21"/>
          <w:sz w:val="24"/>
          <w:szCs w:val="24"/>
          <w:highlight w:val="none"/>
          <w:lang w:eastAsia="zh-CN"/>
        </w:rPr>
        <w:t>，</w:t>
      </w:r>
      <w:r>
        <w:rPr>
          <w:rFonts w:hint="default" w:ascii="Times New Roman" w:hAnsi="Times New Roman" w:cs="Times New Roman"/>
          <w:color w:val="auto"/>
          <w:kern w:val="21"/>
          <w:sz w:val="24"/>
          <w:szCs w:val="24"/>
          <w:highlight w:val="none"/>
        </w:rPr>
        <w:t>已建</w:t>
      </w:r>
      <w:r>
        <w:rPr>
          <w:rFonts w:hint="default" w:ascii="Times New Roman" w:hAnsi="Times New Roman" w:cs="Times New Roman"/>
          <w:color w:val="auto"/>
          <w:kern w:val="21"/>
          <w:sz w:val="24"/>
          <w:szCs w:val="24"/>
          <w:highlight w:val="none"/>
          <w:lang w:val="en-US" w:eastAsia="zh-CN"/>
        </w:rPr>
        <w:t>单母线</w:t>
      </w:r>
      <w:r>
        <w:rPr>
          <w:rFonts w:hint="default" w:ascii="Times New Roman" w:hAnsi="Times New Roman" w:cs="Times New Roman"/>
          <w:color w:val="auto"/>
          <w:kern w:val="21"/>
          <w:sz w:val="24"/>
          <w:szCs w:val="24"/>
          <w:highlight w:val="none"/>
        </w:rPr>
        <w:t>出线</w:t>
      </w:r>
      <w:r>
        <w:rPr>
          <w:rFonts w:hint="default" w:ascii="Times New Roman" w:hAnsi="Times New Roman" w:cs="Times New Roman"/>
          <w:color w:val="auto"/>
          <w:kern w:val="21"/>
          <w:sz w:val="24"/>
          <w:szCs w:val="24"/>
          <w:highlight w:val="none"/>
          <w:lang w:val="en-US" w:eastAsia="zh-CN"/>
        </w:rPr>
        <w:t>1</w:t>
      </w:r>
      <w:r>
        <w:rPr>
          <w:rFonts w:hint="default" w:ascii="Times New Roman" w:hAnsi="Times New Roman" w:cs="Times New Roman"/>
          <w:color w:val="auto"/>
          <w:kern w:val="21"/>
          <w:sz w:val="24"/>
          <w:szCs w:val="24"/>
          <w:highlight w:val="none"/>
        </w:rPr>
        <w:t>回，即:</w:t>
      </w:r>
      <w:r>
        <w:rPr>
          <w:rFonts w:hint="default" w:ascii="Times New Roman" w:hAnsi="Times New Roman" w:cs="Times New Roman"/>
          <w:color w:val="auto"/>
          <w:kern w:val="21"/>
          <w:sz w:val="24"/>
          <w:szCs w:val="24"/>
          <w:highlight w:val="none"/>
          <w:lang w:eastAsia="zh-CN"/>
        </w:rPr>
        <w:t>杜青</w:t>
      </w:r>
      <w:r>
        <w:rPr>
          <w:rFonts w:hint="default" w:ascii="Times New Roman" w:hAnsi="Times New Roman" w:cs="Times New Roman"/>
          <w:color w:val="auto"/>
          <w:kern w:val="21"/>
          <w:sz w:val="24"/>
          <w:szCs w:val="24"/>
          <w:highlight w:val="none"/>
        </w:rPr>
        <w:t>线</w:t>
      </w:r>
      <w:r>
        <w:rPr>
          <w:rFonts w:hint="default" w:ascii="Times New Roman" w:hAnsi="Times New Roman" w:cs="Times New Roman"/>
          <w:color w:val="auto"/>
          <w:kern w:val="21"/>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spacing w:line="460" w:lineRule="exact"/>
        <w:ind w:firstLine="480" w:firstLineChars="200"/>
        <w:jc w:val="both"/>
        <w:textAlignment w:val="auto"/>
        <w:rPr>
          <w:rFonts w:hint="default" w:ascii="Times New Roman" w:hAnsi="Times New Roman" w:cs="Times New Roman"/>
          <w:snapToGrid w:val="0"/>
          <w:color w:val="auto"/>
          <w:kern w:val="18"/>
          <w:sz w:val="24"/>
          <w:szCs w:val="24"/>
          <w:highlight w:val="none"/>
        </w:rPr>
      </w:pPr>
      <w:r>
        <w:rPr>
          <w:rFonts w:hint="default" w:ascii="Times New Roman" w:hAnsi="Times New Roman" w:cs="Times New Roman"/>
          <w:snapToGrid w:val="0"/>
          <w:color w:val="auto"/>
          <w:kern w:val="18"/>
          <w:sz w:val="24"/>
          <w:szCs w:val="24"/>
          <w:highlight w:val="none"/>
        </w:rPr>
        <w:t>10kV</w:t>
      </w:r>
      <w:r>
        <w:rPr>
          <w:rFonts w:hint="default" w:ascii="Times New Roman" w:hAnsi="Times New Roman" w:cs="Times New Roman"/>
          <w:color w:val="auto"/>
          <w:sz w:val="24"/>
          <w:szCs w:val="24"/>
          <w:highlight w:val="none"/>
        </w:rPr>
        <w:t>规划采用单母分段接线出线</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rPr>
        <w:t>回</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已建单母分段接线出线</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rPr>
        <w:t>回</w:t>
      </w:r>
      <w:r>
        <w:rPr>
          <w:rFonts w:hint="default" w:ascii="Times New Roman" w:hAnsi="Times New Roman" w:cs="Times New Roman"/>
          <w:color w:val="auto"/>
          <w:sz w:val="24"/>
          <w:szCs w:val="24"/>
          <w:highlight w:val="none"/>
          <w:lang w:eastAsia="zh-CN"/>
        </w:rPr>
        <w:t>。</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.3  电力系统三相短路电流计算结果</w:t>
      </w:r>
    </w:p>
    <w:p>
      <w:pPr>
        <w:keepNext w:val="0"/>
        <w:keepLines w:val="0"/>
        <w:pageBreakBefore w:val="0"/>
        <w:kinsoku/>
        <w:wordWrap/>
        <w:overflowPunct/>
        <w:topLinePunct w:val="0"/>
        <w:autoSpaceDE/>
        <w:autoSpaceDN/>
        <w:bidi w:val="0"/>
        <w:snapToGrid/>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青山</w:t>
      </w:r>
      <w:r>
        <w:rPr>
          <w:rFonts w:hint="default" w:ascii="Times New Roman" w:hAnsi="Times New Roman" w:eastAsia="宋体" w:cs="Times New Roman"/>
          <w:color w:val="auto"/>
          <w:sz w:val="24"/>
          <w:szCs w:val="24"/>
          <w:highlight w:val="none"/>
        </w:rPr>
        <w:t>变短路电流计算结果表</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单位：kV、MVA、kA</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823"/>
        <w:gridCol w:w="915"/>
        <w:gridCol w:w="896"/>
        <w:gridCol w:w="821"/>
        <w:gridCol w:w="905"/>
        <w:gridCol w:w="888"/>
        <w:gridCol w:w="906"/>
        <w:gridCol w:w="8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16" w:type="dxa"/>
            <w:vMerge w:val="restart"/>
            <w:tcBorders>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母线名称</w:t>
            </w:r>
          </w:p>
        </w:tc>
        <w:tc>
          <w:tcPr>
            <w:tcW w:w="3455" w:type="dxa"/>
            <w:gridSpan w:val="4"/>
            <w:tcBorders>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年</w:t>
            </w:r>
          </w:p>
        </w:tc>
        <w:tc>
          <w:tcPr>
            <w:tcW w:w="3543" w:type="dxa"/>
            <w:gridSpan w:val="4"/>
            <w:tcBorders>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最终规模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516" w:type="dxa"/>
            <w:vMerge w:val="continue"/>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1738" w:type="dxa"/>
            <w:gridSpan w:val="2"/>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三相短路</w:t>
            </w:r>
          </w:p>
        </w:tc>
        <w:tc>
          <w:tcPr>
            <w:tcW w:w="1717" w:type="dxa"/>
            <w:gridSpan w:val="2"/>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单相短路</w:t>
            </w:r>
          </w:p>
        </w:tc>
        <w:tc>
          <w:tcPr>
            <w:tcW w:w="1793" w:type="dxa"/>
            <w:gridSpan w:val="2"/>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三相短路</w:t>
            </w:r>
          </w:p>
        </w:tc>
        <w:tc>
          <w:tcPr>
            <w:tcW w:w="1750" w:type="dxa"/>
            <w:gridSpan w:val="2"/>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单相短路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516" w:type="dxa"/>
            <w:vMerge w:val="continue"/>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823" w:type="dxa"/>
            <w:tcBorders>
              <w:top w:val="single" w:color="auto" w:sz="4" w:space="0"/>
              <w:bottom w:val="single" w:color="auto" w:sz="4" w:space="0"/>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915"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c>
          <w:tcPr>
            <w:tcW w:w="896"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821"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c>
          <w:tcPr>
            <w:tcW w:w="905"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888"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c>
          <w:tcPr>
            <w:tcW w:w="906"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844" w:type="dxa"/>
            <w:tcBorders>
              <w:top w:val="single" w:color="auto" w:sz="4" w:space="0"/>
              <w:bottom w:val="single" w:color="auto" w:sz="4" w:space="0"/>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1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杜家庵</w:t>
            </w:r>
            <w:r>
              <w:rPr>
                <w:rFonts w:hint="default" w:ascii="Times New Roman" w:hAnsi="Times New Roman" w:cs="Times New Roman"/>
                <w:color w:val="auto"/>
                <w:sz w:val="24"/>
                <w:szCs w:val="24"/>
                <w:highlight w:val="none"/>
                <w:lang w:val="en-US" w:eastAsia="zh-CN"/>
              </w:rPr>
              <w:t>110母线</w:t>
            </w:r>
          </w:p>
        </w:tc>
        <w:tc>
          <w:tcPr>
            <w:tcW w:w="823"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3310</w:t>
            </w:r>
          </w:p>
        </w:tc>
        <w:tc>
          <w:tcPr>
            <w:tcW w:w="915"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16.62</w:t>
            </w:r>
          </w:p>
        </w:tc>
        <w:tc>
          <w:tcPr>
            <w:tcW w:w="89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3111</w:t>
            </w:r>
          </w:p>
        </w:tc>
        <w:tc>
          <w:tcPr>
            <w:tcW w:w="821"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15.62</w:t>
            </w:r>
          </w:p>
        </w:tc>
        <w:tc>
          <w:tcPr>
            <w:tcW w:w="905"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sz w:val="24"/>
                <w:szCs w:val="24"/>
                <w:highlight w:val="none"/>
                <w:lang w:val="en-US" w:eastAsia="zh-CN"/>
              </w:rPr>
              <w:t>4976</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24.98</w:t>
            </w:r>
          </w:p>
        </w:tc>
        <w:tc>
          <w:tcPr>
            <w:tcW w:w="90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sz w:val="24"/>
                <w:szCs w:val="24"/>
                <w:highlight w:val="none"/>
                <w:lang w:val="en-US" w:eastAsia="zh-CN"/>
              </w:rPr>
              <w:t>5155</w:t>
            </w:r>
          </w:p>
        </w:tc>
        <w:tc>
          <w:tcPr>
            <w:tcW w:w="844"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25.88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1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青山变110</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（杜家庵供）</w:t>
            </w:r>
          </w:p>
        </w:tc>
        <w:tc>
          <w:tcPr>
            <w:tcW w:w="823"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2091</w:t>
            </w:r>
          </w:p>
        </w:tc>
        <w:tc>
          <w:tcPr>
            <w:tcW w:w="91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10.50</w:t>
            </w:r>
          </w:p>
        </w:tc>
        <w:tc>
          <w:tcPr>
            <w:tcW w:w="896"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1627</w:t>
            </w:r>
          </w:p>
        </w:tc>
        <w:tc>
          <w:tcPr>
            <w:tcW w:w="82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8.17</w:t>
            </w:r>
          </w:p>
        </w:tc>
        <w:tc>
          <w:tcPr>
            <w:tcW w:w="90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sz w:val="24"/>
                <w:szCs w:val="24"/>
                <w:highlight w:val="none"/>
                <w:lang w:val="en-US" w:eastAsia="zh-CN"/>
              </w:rPr>
              <w:t>2653</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13.32</w:t>
            </w:r>
          </w:p>
        </w:tc>
        <w:tc>
          <w:tcPr>
            <w:tcW w:w="906"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sz w:val="24"/>
                <w:szCs w:val="24"/>
                <w:highlight w:val="none"/>
                <w:lang w:val="en-US" w:eastAsia="zh-CN"/>
              </w:rPr>
              <w:t>2051</w:t>
            </w:r>
          </w:p>
        </w:tc>
        <w:tc>
          <w:tcPr>
            <w:tcW w:w="844"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51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熙彩变110</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（杜家庵供）</w:t>
            </w:r>
          </w:p>
        </w:tc>
        <w:tc>
          <w:tcPr>
            <w:tcW w:w="823"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2074</w:t>
            </w:r>
          </w:p>
        </w:tc>
        <w:tc>
          <w:tcPr>
            <w:tcW w:w="91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10.41</w:t>
            </w:r>
          </w:p>
        </w:tc>
        <w:tc>
          <w:tcPr>
            <w:tcW w:w="89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1609</w:t>
            </w:r>
          </w:p>
        </w:tc>
        <w:tc>
          <w:tcPr>
            <w:tcW w:w="82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8.08</w:t>
            </w:r>
          </w:p>
        </w:tc>
        <w:tc>
          <w:tcPr>
            <w:tcW w:w="90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2625</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13.18</w:t>
            </w:r>
          </w:p>
        </w:tc>
        <w:tc>
          <w:tcPr>
            <w:tcW w:w="906"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2024</w:t>
            </w:r>
          </w:p>
        </w:tc>
        <w:tc>
          <w:tcPr>
            <w:tcW w:w="844"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51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kV并列</w:t>
            </w:r>
          </w:p>
        </w:tc>
        <w:tc>
          <w:tcPr>
            <w:tcW w:w="823"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417</w:t>
            </w:r>
          </w:p>
        </w:tc>
        <w:tc>
          <w:tcPr>
            <w:tcW w:w="915"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22.94</w:t>
            </w:r>
          </w:p>
        </w:tc>
        <w:tc>
          <w:tcPr>
            <w:tcW w:w="89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p>
        </w:tc>
        <w:tc>
          <w:tcPr>
            <w:tcW w:w="82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905"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435</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w:t>
            </w:r>
          </w:p>
        </w:tc>
        <w:tc>
          <w:tcPr>
            <w:tcW w:w="906"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44"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51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kV分列</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1#主变(40MVA</w:t>
            </w:r>
            <w:r>
              <w:rPr>
                <w:rFonts w:hint="default" w:ascii="Times New Roman" w:hAnsi="Times New Roman" w:cs="Times New Roman"/>
                <w:color w:val="auto"/>
                <w:sz w:val="24"/>
                <w:szCs w:val="24"/>
                <w:highlight w:val="none"/>
                <w:lang w:eastAsia="zh-CN"/>
              </w:rPr>
              <w:t>）</w:t>
            </w:r>
          </w:p>
        </w:tc>
        <w:tc>
          <w:tcPr>
            <w:tcW w:w="823"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288</w:t>
            </w:r>
          </w:p>
        </w:tc>
        <w:tc>
          <w:tcPr>
            <w:tcW w:w="915"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15.81</w:t>
            </w:r>
          </w:p>
        </w:tc>
        <w:tc>
          <w:tcPr>
            <w:tcW w:w="89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p>
        </w:tc>
        <w:tc>
          <w:tcPr>
            <w:tcW w:w="821"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p>
        </w:tc>
        <w:tc>
          <w:tcPr>
            <w:tcW w:w="90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296</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16.29</w:t>
            </w:r>
          </w:p>
        </w:tc>
        <w:tc>
          <w:tcPr>
            <w:tcW w:w="906"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44"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516" w:type="dxa"/>
            <w:tcBorders>
              <w:top w:val="single" w:color="auto" w:sz="4" w:space="0"/>
            </w:tcBorders>
            <w:noWrap w:val="0"/>
            <w:vAlign w:val="center"/>
          </w:tcPr>
          <w:p>
            <w:pPr>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kV分列</w:t>
            </w:r>
          </w:p>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2#主变(20MVA</w:t>
            </w:r>
            <w:r>
              <w:rPr>
                <w:rFonts w:hint="default" w:ascii="Times New Roman" w:hAnsi="Times New Roman" w:cs="Times New Roman"/>
                <w:color w:val="auto"/>
                <w:sz w:val="24"/>
                <w:szCs w:val="24"/>
                <w:highlight w:val="none"/>
                <w:lang w:eastAsia="zh-CN"/>
              </w:rPr>
              <w:t>）</w:t>
            </w:r>
          </w:p>
        </w:tc>
        <w:tc>
          <w:tcPr>
            <w:tcW w:w="823" w:type="dxa"/>
            <w:tcBorders>
              <w:top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173</w:t>
            </w:r>
          </w:p>
        </w:tc>
        <w:tc>
          <w:tcPr>
            <w:tcW w:w="915" w:type="dxa"/>
            <w:tcBorders>
              <w:top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9.49</w:t>
            </w:r>
          </w:p>
        </w:tc>
        <w:tc>
          <w:tcPr>
            <w:tcW w:w="896" w:type="dxa"/>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p>
        </w:tc>
        <w:tc>
          <w:tcPr>
            <w:tcW w:w="821" w:type="dxa"/>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p>
        </w:tc>
        <w:tc>
          <w:tcPr>
            <w:tcW w:w="905" w:type="dxa"/>
            <w:tcBorders>
              <w:top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175</w:t>
            </w:r>
          </w:p>
        </w:tc>
        <w:tc>
          <w:tcPr>
            <w:tcW w:w="888" w:type="dxa"/>
            <w:tcBorders>
              <w:top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9.65</w:t>
            </w:r>
          </w:p>
        </w:tc>
        <w:tc>
          <w:tcPr>
            <w:tcW w:w="906" w:type="dxa"/>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p>
        </w:tc>
        <w:tc>
          <w:tcPr>
            <w:tcW w:w="844" w:type="dxa"/>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p>
        </w:tc>
      </w:tr>
    </w:tbl>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20</w:t>
      </w:r>
      <w:r>
        <w:rPr>
          <w:rFonts w:hint="default" w:ascii="Times New Roman" w:hAnsi="Times New Roman" w:cs="Times New Roman"/>
          <w:color w:val="auto"/>
          <w:kern w:val="21"/>
          <w:sz w:val="24"/>
          <w:szCs w:val="24"/>
          <w:highlight w:val="none"/>
          <w:lang w:val="en-US" w:eastAsia="zh-CN"/>
        </w:rPr>
        <w:t>21</w:t>
      </w:r>
      <w:r>
        <w:rPr>
          <w:rFonts w:hint="default" w:ascii="Times New Roman" w:hAnsi="Times New Roman" w:cs="Times New Roman"/>
          <w:color w:val="auto"/>
          <w:kern w:val="21"/>
          <w:sz w:val="24"/>
          <w:szCs w:val="24"/>
          <w:highlight w:val="none"/>
        </w:rPr>
        <w:t>年、最终规模</w:t>
      </w:r>
      <w:r>
        <w:rPr>
          <w:rFonts w:hint="default" w:ascii="Times New Roman" w:hAnsi="Times New Roman" w:cs="Times New Roman"/>
          <w:color w:val="auto"/>
          <w:kern w:val="21"/>
          <w:sz w:val="24"/>
          <w:szCs w:val="24"/>
          <w:highlight w:val="none"/>
          <w:lang w:eastAsia="zh-CN"/>
        </w:rPr>
        <w:t>青山</w:t>
      </w:r>
      <w:r>
        <w:rPr>
          <w:rFonts w:hint="default" w:ascii="Times New Roman" w:hAnsi="Times New Roman" w:cs="Times New Roman"/>
          <w:color w:val="auto"/>
          <w:kern w:val="21"/>
          <w:sz w:val="24"/>
          <w:szCs w:val="24"/>
          <w:highlight w:val="none"/>
        </w:rPr>
        <w:t>变110kV母线三相短路电流分别为</w:t>
      </w:r>
      <w:r>
        <w:rPr>
          <w:rFonts w:hint="default" w:ascii="Times New Roman" w:hAnsi="Times New Roman" w:cs="Times New Roman"/>
          <w:color w:val="auto"/>
          <w:kern w:val="21"/>
          <w:sz w:val="24"/>
          <w:szCs w:val="24"/>
          <w:highlight w:val="none"/>
          <w:lang w:val="en-US" w:eastAsia="zh-CN"/>
        </w:rPr>
        <w:t>10.50</w:t>
      </w:r>
      <w:r>
        <w:rPr>
          <w:rFonts w:hint="default" w:ascii="Times New Roman" w:hAnsi="Times New Roman" w:cs="Times New Roman"/>
          <w:color w:val="auto"/>
          <w:kern w:val="21"/>
          <w:sz w:val="24"/>
          <w:szCs w:val="24"/>
          <w:highlight w:val="none"/>
        </w:rPr>
        <w:t>kA、</w:t>
      </w:r>
      <w:r>
        <w:rPr>
          <w:rFonts w:hint="default" w:ascii="Times New Roman" w:hAnsi="Times New Roman" w:cs="Times New Roman"/>
          <w:color w:val="auto"/>
          <w:kern w:val="21"/>
          <w:sz w:val="24"/>
          <w:szCs w:val="24"/>
          <w:highlight w:val="none"/>
          <w:lang w:val="en-US" w:eastAsia="zh-CN"/>
        </w:rPr>
        <w:t>13.32</w:t>
      </w:r>
      <w:r>
        <w:rPr>
          <w:rFonts w:hint="default" w:ascii="Times New Roman" w:hAnsi="Times New Roman" w:cs="Times New Roman"/>
          <w:color w:val="auto"/>
          <w:kern w:val="21"/>
          <w:sz w:val="24"/>
          <w:szCs w:val="24"/>
          <w:highlight w:val="none"/>
        </w:rPr>
        <w:t>kA；阻抗标幺值分别为</w:t>
      </w:r>
      <w:r>
        <w:rPr>
          <w:rFonts w:hint="default" w:ascii="Times New Roman" w:hAnsi="Times New Roman" w:eastAsia="宋体" w:cs="Times New Roman"/>
          <w:color w:val="auto"/>
          <w:kern w:val="21"/>
          <w:sz w:val="24"/>
          <w:szCs w:val="24"/>
          <w:highlight w:val="none"/>
          <w:lang w:val="en-US" w:eastAsia="zh-CN"/>
        </w:rPr>
        <w:t>0.0302</w:t>
      </w:r>
      <w:r>
        <w:rPr>
          <w:rFonts w:hint="default" w:ascii="Times New Roman" w:hAnsi="Times New Roman" w:cs="Times New Roman"/>
          <w:color w:val="auto"/>
          <w:kern w:val="21"/>
          <w:sz w:val="24"/>
          <w:szCs w:val="24"/>
          <w:highlight w:val="none"/>
        </w:rPr>
        <w:t>、</w:t>
      </w:r>
      <w:r>
        <w:rPr>
          <w:rFonts w:hint="default" w:ascii="Times New Roman" w:hAnsi="Times New Roman" w:eastAsia="宋体" w:cs="Times New Roman"/>
          <w:color w:val="auto"/>
          <w:kern w:val="21"/>
          <w:sz w:val="24"/>
          <w:szCs w:val="24"/>
          <w:highlight w:val="none"/>
          <w:lang w:val="en-US" w:eastAsia="zh-CN"/>
        </w:rPr>
        <w:t>0.0201</w:t>
      </w:r>
      <w:r>
        <w:rPr>
          <w:rFonts w:hint="default" w:ascii="Times New Roman" w:hAnsi="Times New Roman" w:cs="Times New Roman"/>
          <w:color w:val="auto"/>
          <w:kern w:val="21"/>
          <w:sz w:val="24"/>
          <w:szCs w:val="24"/>
          <w:highlight w:val="none"/>
        </w:rPr>
        <w:t>。</w:t>
      </w:r>
    </w:p>
    <w:p>
      <w:pPr>
        <w:keepNext w:val="0"/>
        <w:keepLines w:val="0"/>
        <w:pageBreakBefore w:val="0"/>
        <w:widowControl/>
        <w:kinsoku/>
        <w:wordWrap/>
        <w:overflowPunct/>
        <w:topLinePunct w:val="0"/>
        <w:autoSpaceDE/>
        <w:autoSpaceDN/>
        <w:bidi w:val="0"/>
        <w:adjustRightInd/>
        <w:snapToGrid w:val="0"/>
        <w:spacing w:line="46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 xml:space="preserve">.4 </w:t>
      </w:r>
      <w:r>
        <w:rPr>
          <w:rFonts w:hint="default" w:ascii="Times New Roman" w:hAnsi="Times New Roman" w:cs="Times New Roman"/>
          <w:snapToGrid w:val="0"/>
          <w:color w:val="auto"/>
          <w:kern w:val="21"/>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青山</w:t>
      </w:r>
      <w:r>
        <w:rPr>
          <w:rFonts w:hint="default" w:ascii="Times New Roman" w:hAnsi="Times New Roman" w:eastAsia="宋体" w:cs="Times New Roman"/>
          <w:color w:val="auto"/>
          <w:sz w:val="24"/>
          <w:szCs w:val="24"/>
          <w:highlight w:val="none"/>
        </w:rPr>
        <w:t>变1#、2#主变并列运行计算情况见表</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青山</w:t>
      </w:r>
      <w:r>
        <w:rPr>
          <w:rFonts w:hint="default" w:ascii="Times New Roman" w:hAnsi="Times New Roman" w:eastAsia="宋体" w:cs="Times New Roman"/>
          <w:color w:val="auto"/>
          <w:sz w:val="24"/>
          <w:szCs w:val="24"/>
          <w:highlight w:val="none"/>
        </w:rPr>
        <w:t>变1#、2#主变并列运行计算情况表</w:t>
      </w:r>
    </w:p>
    <w:p>
      <w:pPr>
        <w:keepNext w:val="0"/>
        <w:keepLines w:val="0"/>
        <w:pageBreakBefore w:val="0"/>
        <w:widowControl/>
        <w:kinsoku/>
        <w:wordWrap/>
        <w:overflowPunct/>
        <w:topLinePunct w:val="0"/>
        <w:autoSpaceDE/>
        <w:autoSpaceDN/>
        <w:bidi w:val="0"/>
        <w:adjustRightInd/>
        <w:snapToGrid w:val="0"/>
        <w:spacing w:line="460" w:lineRule="exact"/>
        <w:jc w:val="right"/>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460" w:lineRule="exact"/>
        <w:jc w:val="righ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 MW</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3549"/>
        <w:gridCol w:w="32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44" w:type="dxa"/>
            <w:tcBorders>
              <w:tl2br w:val="nil"/>
              <w:tr2bl w:val="nil"/>
            </w:tcBorders>
            <w:noWrap w:val="0"/>
            <w:vAlign w:val="center"/>
          </w:tcPr>
          <w:p>
            <w:pPr>
              <w:widowControl/>
              <w:kinsoku/>
              <w:wordWrap/>
              <w:overflowPunct/>
              <w:autoSpaceDE/>
              <w:bidi w:val="0"/>
              <w:spacing w:line="560" w:lineRule="exact"/>
              <w:jc w:val="right"/>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-6985</wp:posOffset>
                      </wp:positionV>
                      <wp:extent cx="1692275" cy="707390"/>
                      <wp:effectExtent l="1905" t="4445" r="20320" b="12065"/>
                      <wp:wrapNone/>
                      <wp:docPr id="4" name="__TH_L4"/>
                      <wp:cNvGraphicFramePr/>
                      <a:graphic xmlns:a="http://schemas.openxmlformats.org/drawingml/2006/main">
                        <a:graphicData uri="http://schemas.microsoft.com/office/word/2010/wordprocessingShape">
                          <wps:wsp>
                            <wps:cNvCnPr/>
                            <wps:spPr>
                              <a:xfrm>
                                <a:off x="0" y="0"/>
                                <a:ext cx="1692275" cy="70739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_TH_L4" o:spid="_x0000_s1026" o:spt="20" style="position:absolute;left:0pt;margin-left:-5.25pt;margin-top:-0.55pt;height:55.7pt;width:133.25pt;z-index:251662336;mso-width-relative:page;mso-height-relative:page;" filled="f" stroked="t" coordsize="21600,21600" o:gfxdata="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cS2bVAAAA&#10;CgEAAA8AAAAAAAAAAQAgAAAAIgAAAGRycy9kb3ducmV2LnhtbFBLAQIUABQAAAAIAIdO4kC4aoXM&#10;5wEAAN8DAAAOAAAAAAAAAAEAIAAAACQBAABkcnMvZTJvRG9jLnhtbFBLBQYAAAAABgAGAFkBAAB9&#10;BQAAAAA=&#10;">
                      <v:fill on="f" focussize="0,0"/>
                      <v:stroke weight="0.5pt" color="#000000" joinstyle="round"/>
                      <v:imagedata o:title=""/>
                      <o:lock v:ext="edit" aspectratio="f"/>
                    </v:line>
                  </w:pict>
                </mc:Fallback>
              </mc:AlternateContent>
            </w:r>
            <w:r>
              <w:rPr>
                <w:rFonts w:hint="default" w:ascii="Times New Roman" w:hAnsi="Times New Roman" w:eastAsia="宋体" w:cs="Times New Roman"/>
                <w:color w:val="auto"/>
                <w:sz w:val="24"/>
                <w:szCs w:val="24"/>
                <w:highlight w:val="none"/>
              </w:rPr>
              <w:t>负荷（MW）</w:t>
            </w:r>
          </w:p>
          <w:p>
            <w:pPr>
              <w:widowControl/>
              <w:kinsoku/>
              <w:wordWrap/>
              <w:overflowPunct/>
              <w:autoSpaceDE/>
              <w:bidi w:val="0"/>
              <w:spacing w:line="56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主变</w:t>
            </w:r>
          </w:p>
        </w:tc>
        <w:tc>
          <w:tcPr>
            <w:tcW w:w="3549"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49.79</w:t>
            </w:r>
          </w:p>
        </w:tc>
        <w:tc>
          <w:tcPr>
            <w:tcW w:w="3293"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56.36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644"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0MVA)</w:t>
            </w:r>
          </w:p>
        </w:tc>
        <w:tc>
          <w:tcPr>
            <w:tcW w:w="3549"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31.79/88.31%</w:t>
            </w:r>
          </w:p>
        </w:tc>
        <w:tc>
          <w:tcPr>
            <w:tcW w:w="3293"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36/100%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644"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0MVA)</w:t>
            </w:r>
          </w:p>
        </w:tc>
        <w:tc>
          <w:tcPr>
            <w:tcW w:w="3549"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18/100%</w:t>
            </w:r>
          </w:p>
        </w:tc>
        <w:tc>
          <w:tcPr>
            <w:tcW w:w="3293" w:type="dxa"/>
            <w:tcBorders>
              <w:tl2br w:val="nil"/>
              <w:tr2bl w:val="nil"/>
            </w:tcBorders>
            <w:noWrap w:val="0"/>
            <w:vAlign w:val="center"/>
          </w:tcPr>
          <w:p>
            <w:pPr>
              <w:widowControl/>
              <w:kinsoku/>
              <w:wordWrap/>
              <w:overflowPunct/>
              <w:autoSpaceDE/>
              <w:bidi w:val="0"/>
              <w:spacing w:line="56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20.36/113.1%</w:t>
            </w:r>
          </w:p>
        </w:tc>
      </w:tr>
    </w:tbl>
    <w:p>
      <w:pPr>
        <w:keepNext w:val="0"/>
        <w:keepLines w:val="0"/>
        <w:pageBreakBefore w:val="0"/>
        <w:numPr>
          <w:ilvl w:val="0"/>
          <w:numId w:val="0"/>
        </w:numPr>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lang w:val="zh-CN" w:eastAsia="zh-CN" w:bidi="ar-SA"/>
        </w:rPr>
      </w:pPr>
      <w:r>
        <w:rPr>
          <w:rFonts w:hint="default" w:ascii="Times New Roman" w:hAnsi="Times New Roman" w:cs="Times New Roman"/>
          <w:color w:val="auto"/>
          <w:sz w:val="24"/>
          <w:szCs w:val="24"/>
          <w:highlight w:val="none"/>
          <w:lang w:val="zh-CN" w:eastAsia="zh-CN" w:bidi="ar-SA"/>
        </w:rPr>
        <w:t>注：“/”下表示主变所带负荷的百分数，功率因数取0.95，1#主变阻抗电压按</w:t>
      </w:r>
      <w:r>
        <w:rPr>
          <w:rFonts w:hint="default" w:ascii="Times New Roman" w:hAnsi="Times New Roman" w:cs="Times New Roman"/>
          <w:color w:val="auto"/>
          <w:sz w:val="24"/>
          <w:szCs w:val="24"/>
          <w:highlight w:val="none"/>
          <w:lang w:val="en-US" w:eastAsia="zh-CN" w:bidi="ar-SA"/>
        </w:rPr>
        <w:t>12%</w:t>
      </w:r>
      <w:r>
        <w:rPr>
          <w:rFonts w:hint="default" w:ascii="Times New Roman" w:hAnsi="Times New Roman" w:cs="Times New Roman"/>
          <w:color w:val="auto"/>
          <w:sz w:val="24"/>
          <w:szCs w:val="24"/>
          <w:highlight w:val="none"/>
          <w:lang w:val="zh-CN" w:eastAsia="zh-CN" w:bidi="ar-SA"/>
        </w:rPr>
        <w:t>，</w:t>
      </w:r>
      <w:r>
        <w:rPr>
          <w:rFonts w:hint="default" w:ascii="Times New Roman" w:hAnsi="Times New Roman" w:cs="Times New Roman"/>
          <w:color w:val="auto"/>
          <w:sz w:val="24"/>
          <w:szCs w:val="24"/>
          <w:highlight w:val="none"/>
          <w:lang w:val="en-US" w:eastAsia="zh-CN" w:bidi="ar-SA"/>
        </w:rPr>
        <w:t>2</w:t>
      </w:r>
      <w:r>
        <w:rPr>
          <w:rFonts w:hint="default" w:ascii="Times New Roman" w:hAnsi="Times New Roman" w:cs="Times New Roman"/>
          <w:color w:val="auto"/>
          <w:sz w:val="24"/>
          <w:szCs w:val="24"/>
          <w:highlight w:val="none"/>
          <w:lang w:val="zh-CN" w:eastAsia="zh-CN" w:bidi="ar-SA"/>
        </w:rPr>
        <w:t>#主变阻抗电压按</w:t>
      </w:r>
      <w:r>
        <w:rPr>
          <w:rFonts w:hint="default" w:ascii="Times New Roman" w:hAnsi="Times New Roman" w:cs="Times New Roman"/>
          <w:color w:val="auto"/>
          <w:sz w:val="24"/>
          <w:szCs w:val="24"/>
          <w:highlight w:val="none"/>
          <w:lang w:val="en-US" w:eastAsia="zh-CN" w:bidi="ar-SA"/>
        </w:rPr>
        <w:t>10.6%，</w:t>
      </w:r>
      <w:r>
        <w:rPr>
          <w:rFonts w:hint="default" w:ascii="Times New Roman" w:hAnsi="Times New Roman" w:cs="Times New Roman"/>
          <w:color w:val="auto"/>
          <w:sz w:val="24"/>
          <w:szCs w:val="24"/>
          <w:highlight w:val="none"/>
          <w:lang w:val="zh-CN" w:eastAsia="zh-CN" w:bidi="ar-SA"/>
        </w:rPr>
        <w:t>10kV侧负荷按主变负荷的</w:t>
      </w:r>
      <w:r>
        <w:rPr>
          <w:rFonts w:hint="default" w:ascii="Times New Roman" w:hAnsi="Times New Roman" w:cs="Times New Roman"/>
          <w:color w:val="auto"/>
          <w:sz w:val="24"/>
          <w:szCs w:val="24"/>
          <w:highlight w:val="none"/>
          <w:lang w:val="en-US" w:eastAsia="zh-CN" w:bidi="ar-SA"/>
        </w:rPr>
        <w:t>8</w:t>
      </w:r>
      <w:r>
        <w:rPr>
          <w:rFonts w:hint="default" w:ascii="Times New Roman" w:hAnsi="Times New Roman" w:cs="Times New Roman"/>
          <w:color w:val="auto"/>
          <w:sz w:val="24"/>
          <w:szCs w:val="24"/>
          <w:highlight w:val="none"/>
          <w:lang w:val="zh-CN" w:eastAsia="zh-CN" w:bidi="ar-SA"/>
        </w:rPr>
        <w:t>0%考虑。</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color w:val="auto"/>
          <w:sz w:val="24"/>
          <w:szCs w:val="24"/>
          <w:highlight w:val="none"/>
          <w:lang w:val="zh-CN" w:eastAsia="zh-CN" w:bidi="ar-SA"/>
        </w:rPr>
      </w:pPr>
      <w:r>
        <w:rPr>
          <w:rFonts w:hint="default" w:ascii="Times New Roman" w:hAnsi="Times New Roman" w:cs="Times New Roman"/>
          <w:color w:val="auto"/>
          <w:sz w:val="24"/>
          <w:szCs w:val="24"/>
          <w:highlight w:val="none"/>
          <w:lang w:val="zh-CN" w:eastAsia="zh-CN" w:bidi="ar-SA"/>
        </w:rPr>
        <w:t>由上表可知，当2#主变满负荷时，1#主变负荷为满负荷的</w:t>
      </w:r>
      <w:r>
        <w:rPr>
          <w:rFonts w:hint="default" w:ascii="Times New Roman" w:hAnsi="Times New Roman" w:cs="Times New Roman"/>
          <w:color w:val="auto"/>
          <w:sz w:val="24"/>
          <w:szCs w:val="24"/>
          <w:highlight w:val="none"/>
          <w:lang w:val="en-US" w:eastAsia="zh-CN" w:bidi="ar-SA"/>
        </w:rPr>
        <w:t>88.31</w:t>
      </w:r>
      <w:r>
        <w:rPr>
          <w:rFonts w:hint="default" w:ascii="Times New Roman" w:hAnsi="Times New Roman" w:cs="Times New Roman"/>
          <w:color w:val="auto"/>
          <w:sz w:val="24"/>
          <w:szCs w:val="24"/>
          <w:highlight w:val="none"/>
          <w:lang w:val="zh-CN" w:eastAsia="zh-CN" w:bidi="ar-SA"/>
        </w:rPr>
        <w:t>%；当1#主变满负荷时，2#主变负荷为满负荷的</w:t>
      </w:r>
      <w:r>
        <w:rPr>
          <w:rFonts w:hint="default" w:ascii="Times New Roman" w:hAnsi="Times New Roman" w:cs="Times New Roman"/>
          <w:color w:val="auto"/>
          <w:sz w:val="24"/>
          <w:szCs w:val="24"/>
          <w:highlight w:val="none"/>
          <w:lang w:val="en-US" w:eastAsia="zh-CN" w:bidi="ar-SA"/>
        </w:rPr>
        <w:t>113.1</w:t>
      </w:r>
      <w:r>
        <w:rPr>
          <w:rFonts w:hint="default" w:ascii="Times New Roman" w:hAnsi="Times New Roman" w:cs="Times New Roman"/>
          <w:color w:val="auto"/>
          <w:sz w:val="24"/>
          <w:szCs w:val="24"/>
          <w:highlight w:val="none"/>
          <w:lang w:val="zh-CN" w:eastAsia="zh-CN" w:bidi="ar-SA"/>
        </w:rPr>
        <w:t>%，所以两台主变并列运行时总负荷不能超过</w:t>
      </w:r>
      <w:r>
        <w:rPr>
          <w:rFonts w:hint="default" w:ascii="Times New Roman" w:hAnsi="Times New Roman" w:cs="Times New Roman"/>
          <w:color w:val="auto"/>
          <w:sz w:val="24"/>
          <w:szCs w:val="24"/>
          <w:highlight w:val="none"/>
          <w:lang w:val="en-US" w:eastAsia="zh-CN" w:bidi="ar-SA"/>
        </w:rPr>
        <w:t>49.79</w:t>
      </w:r>
      <w:r>
        <w:rPr>
          <w:rFonts w:hint="default" w:ascii="Times New Roman" w:hAnsi="Times New Roman" w:cs="Times New Roman"/>
          <w:color w:val="auto"/>
          <w:sz w:val="24"/>
          <w:szCs w:val="24"/>
          <w:highlight w:val="none"/>
          <w:lang w:val="zh-CN" w:eastAsia="zh-CN" w:bidi="ar-SA"/>
        </w:rPr>
        <w:t>MW。</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5</w:t>
      </w: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cs="Times New Roman"/>
          <w:snapToGrid w:val="0"/>
          <w:color w:val="auto"/>
          <w:kern w:val="21"/>
          <w:sz w:val="24"/>
          <w:szCs w:val="24"/>
          <w:highlight w:val="none"/>
          <w:lang w:val="en-US" w:eastAsia="zh-CN"/>
        </w:rPr>
        <w:t xml:space="preserve"> </w:t>
      </w:r>
      <w:r>
        <w:rPr>
          <w:rFonts w:hint="default" w:ascii="Times New Roman" w:hAnsi="Times New Roman" w:cs="Times New Roman"/>
          <w:snapToGrid w:val="0"/>
          <w:color w:val="auto"/>
          <w:kern w:val="21"/>
          <w:sz w:val="24"/>
          <w:szCs w:val="24"/>
          <w:highlight w:val="none"/>
        </w:rPr>
        <w:t>变压器中性点接地方式</w:t>
      </w:r>
    </w:p>
    <w:p>
      <w:pPr>
        <w:keepNext w:val="0"/>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cs="Times New Roman"/>
          <w:snapToGrid w:val="0"/>
          <w:color w:val="auto"/>
          <w:kern w:val="18"/>
          <w:sz w:val="24"/>
          <w:szCs w:val="24"/>
          <w:highlight w:val="none"/>
          <w:lang w:eastAsia="zh-CN"/>
        </w:rPr>
      </w:pPr>
      <w:r>
        <w:rPr>
          <w:rFonts w:hint="default" w:ascii="Times New Roman" w:hAnsi="Times New Roman" w:cs="Times New Roman"/>
          <w:color w:val="auto"/>
          <w:kern w:val="21"/>
          <w:sz w:val="24"/>
          <w:szCs w:val="24"/>
          <w:highlight w:val="none"/>
          <w:lang w:val="zh-CN"/>
        </w:rPr>
        <w:t>主变压器为双绕组，110kV为星形接线，中性点通过隔离开关接地。10kV为△形接线，</w:t>
      </w:r>
      <w:r>
        <w:rPr>
          <w:rFonts w:hint="default" w:ascii="Times New Roman" w:hAnsi="Times New Roman" w:cs="Times New Roman"/>
          <w:color w:val="auto"/>
          <w:kern w:val="21"/>
          <w:sz w:val="24"/>
          <w:szCs w:val="24"/>
          <w:highlight w:val="none"/>
        </w:rPr>
        <w:t>10kV侧中性点经接地变消弧线圈接地。</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6</w:t>
      </w: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cs="Times New Roman"/>
          <w:snapToGrid w:val="0"/>
          <w:color w:val="auto"/>
          <w:kern w:val="21"/>
          <w:sz w:val="24"/>
          <w:szCs w:val="24"/>
          <w:highlight w:val="none"/>
          <w:lang w:val="en-US" w:eastAsia="zh-CN"/>
        </w:rPr>
        <w:t xml:space="preserve"> </w:t>
      </w:r>
      <w:r>
        <w:rPr>
          <w:rFonts w:hint="default" w:ascii="Times New Roman" w:hAnsi="Times New Roman" w:cs="Times New Roman"/>
          <w:snapToGrid w:val="0"/>
          <w:color w:val="auto"/>
          <w:kern w:val="21"/>
          <w:sz w:val="24"/>
          <w:szCs w:val="24"/>
          <w:highlight w:val="none"/>
          <w:lang w:eastAsia="zh-CN"/>
        </w:rPr>
        <w:t>最大回路工作电流</w:t>
      </w:r>
    </w:p>
    <w:p>
      <w:pPr>
        <w:keepNext w:val="0"/>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cs="Times New Roman"/>
          <w:color w:val="auto"/>
          <w:kern w:val="21"/>
          <w:sz w:val="24"/>
          <w:szCs w:val="24"/>
          <w:highlight w:val="none"/>
          <w:lang w:val="en-US" w:eastAsia="zh-CN"/>
        </w:rPr>
      </w:pPr>
      <w:r>
        <w:rPr>
          <w:rFonts w:hint="default" w:ascii="Times New Roman" w:hAnsi="Times New Roman" w:cs="Times New Roman"/>
          <w:color w:val="auto"/>
          <w:kern w:val="21"/>
          <w:sz w:val="24"/>
          <w:szCs w:val="24"/>
          <w:highlight w:val="none"/>
          <w:lang w:val="en-US" w:eastAsia="zh-CN"/>
        </w:rPr>
        <w:t xml:space="preserve"> 220kV</w:t>
      </w:r>
      <w:r>
        <w:rPr>
          <w:rFonts w:hint="default" w:ascii="Times New Roman" w:hAnsi="Times New Roman" w:cs="Times New Roman"/>
          <w:color w:val="auto"/>
          <w:kern w:val="21"/>
          <w:sz w:val="24"/>
          <w:szCs w:val="24"/>
          <w:highlight w:val="none"/>
          <w:lang w:val="zh-CN" w:eastAsia="zh-CN"/>
        </w:rPr>
        <w:t>杜家庵至</w:t>
      </w:r>
      <w:r>
        <w:rPr>
          <w:rFonts w:hint="default" w:ascii="Times New Roman" w:hAnsi="Times New Roman" w:cs="Times New Roman"/>
          <w:color w:val="auto"/>
          <w:kern w:val="21"/>
          <w:sz w:val="24"/>
          <w:szCs w:val="24"/>
          <w:highlight w:val="none"/>
          <w:lang w:val="zh-CN"/>
        </w:rPr>
        <w:t>110kV</w:t>
      </w:r>
      <w:r>
        <w:rPr>
          <w:rFonts w:hint="default" w:ascii="Times New Roman" w:hAnsi="Times New Roman" w:cs="Times New Roman"/>
          <w:color w:val="auto"/>
          <w:kern w:val="21"/>
          <w:sz w:val="24"/>
          <w:szCs w:val="24"/>
          <w:highlight w:val="none"/>
          <w:lang w:val="zh-CN" w:eastAsia="zh-CN"/>
        </w:rPr>
        <w:t>青山变最大回路工作电流为</w:t>
      </w:r>
      <w:r>
        <w:rPr>
          <w:rFonts w:hint="default" w:ascii="Times New Roman" w:hAnsi="Times New Roman" w:cs="Times New Roman"/>
          <w:color w:val="auto"/>
          <w:kern w:val="21"/>
          <w:sz w:val="24"/>
          <w:szCs w:val="24"/>
          <w:highlight w:val="none"/>
          <w:lang w:val="en-US" w:eastAsia="zh-CN"/>
        </w:rPr>
        <w:t>690A。</w:t>
      </w:r>
    </w:p>
    <w:p>
      <w:pPr>
        <w:keepNext w:val="0"/>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cs="Times New Roman"/>
          <w:color w:val="auto"/>
          <w:kern w:val="21"/>
          <w:sz w:val="24"/>
          <w:szCs w:val="24"/>
          <w:highlight w:val="none"/>
          <w:lang w:val="en-US" w:eastAsia="zh-CN"/>
        </w:rPr>
      </w:pPr>
      <w:r>
        <w:rPr>
          <w:rFonts w:hint="default" w:ascii="Times New Roman" w:hAnsi="Times New Roman" w:cs="Times New Roman"/>
          <w:color w:val="auto"/>
          <w:kern w:val="21"/>
          <w:sz w:val="24"/>
          <w:szCs w:val="24"/>
          <w:highlight w:val="none"/>
          <w:lang w:val="en-US" w:eastAsia="zh-CN"/>
        </w:rPr>
        <w:t xml:space="preserve"> </w:t>
      </w:r>
      <w:r>
        <w:rPr>
          <w:rFonts w:hint="default" w:ascii="Times New Roman" w:hAnsi="Times New Roman" w:cs="Times New Roman"/>
          <w:color w:val="auto"/>
          <w:kern w:val="21"/>
          <w:sz w:val="24"/>
          <w:szCs w:val="24"/>
          <w:highlight w:val="none"/>
          <w:lang w:val="zh-CN"/>
        </w:rPr>
        <w:t>110kV</w:t>
      </w:r>
      <w:r>
        <w:rPr>
          <w:rFonts w:hint="default" w:ascii="Times New Roman" w:hAnsi="Times New Roman" w:cs="Times New Roman"/>
          <w:color w:val="auto"/>
          <w:kern w:val="21"/>
          <w:sz w:val="24"/>
          <w:szCs w:val="24"/>
          <w:highlight w:val="none"/>
          <w:lang w:val="zh-CN" w:eastAsia="zh-CN"/>
        </w:rPr>
        <w:t>青山</w:t>
      </w:r>
      <w:r>
        <w:rPr>
          <w:rFonts w:hint="default" w:ascii="Times New Roman" w:hAnsi="Times New Roman" w:cs="Times New Roman"/>
          <w:color w:val="auto"/>
          <w:kern w:val="21"/>
          <w:sz w:val="24"/>
          <w:szCs w:val="24"/>
          <w:highlight w:val="none"/>
          <w:lang w:val="zh-CN"/>
        </w:rPr>
        <w:t>变</w:t>
      </w:r>
      <w:r>
        <w:rPr>
          <w:rFonts w:hint="default" w:ascii="Times New Roman" w:hAnsi="Times New Roman" w:cs="Times New Roman"/>
          <w:color w:val="auto"/>
          <w:kern w:val="21"/>
          <w:sz w:val="24"/>
          <w:szCs w:val="24"/>
          <w:highlight w:val="none"/>
          <w:lang w:val="zh-CN" w:eastAsia="zh-CN"/>
        </w:rPr>
        <w:t>最大回路工作电流为</w:t>
      </w:r>
      <w:r>
        <w:rPr>
          <w:rFonts w:hint="default" w:ascii="Times New Roman" w:hAnsi="Times New Roman" w:cs="Times New Roman"/>
          <w:color w:val="auto"/>
          <w:kern w:val="21"/>
          <w:sz w:val="24"/>
          <w:szCs w:val="24"/>
          <w:highlight w:val="none"/>
          <w:lang w:val="en-US" w:eastAsia="zh-CN"/>
        </w:rPr>
        <w:t>315A。</w:t>
      </w:r>
    </w:p>
    <w:p>
      <w:pPr>
        <w:keepNext w:val="0"/>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cs="Times New Roman"/>
          <w:color w:val="auto"/>
          <w:kern w:val="21"/>
          <w:sz w:val="24"/>
          <w:szCs w:val="24"/>
          <w:highlight w:val="none"/>
          <w:lang w:val="en-US" w:eastAsia="zh-CN"/>
        </w:rPr>
      </w:pPr>
      <w:r>
        <w:rPr>
          <w:rFonts w:hint="default" w:ascii="Times New Roman" w:hAnsi="Times New Roman" w:cs="Times New Roman"/>
          <w:color w:val="auto"/>
          <w:kern w:val="21"/>
          <w:sz w:val="24"/>
          <w:szCs w:val="24"/>
          <w:highlight w:val="none"/>
          <w:lang w:val="en-US" w:eastAsia="zh-CN"/>
        </w:rPr>
        <w:t xml:space="preserve"> </w:t>
      </w:r>
      <w:r>
        <w:rPr>
          <w:rFonts w:hint="default" w:ascii="Times New Roman" w:hAnsi="Times New Roman" w:cs="Times New Roman"/>
          <w:color w:val="auto"/>
          <w:kern w:val="21"/>
          <w:sz w:val="24"/>
          <w:szCs w:val="24"/>
          <w:highlight w:val="none"/>
          <w:lang w:val="zh-CN"/>
        </w:rPr>
        <w:t>110kV</w:t>
      </w:r>
      <w:r>
        <w:rPr>
          <w:rFonts w:hint="default" w:ascii="Times New Roman" w:hAnsi="Times New Roman" w:cs="Times New Roman"/>
          <w:color w:val="auto"/>
          <w:kern w:val="21"/>
          <w:sz w:val="24"/>
          <w:szCs w:val="24"/>
          <w:highlight w:val="none"/>
          <w:lang w:val="zh-CN" w:eastAsia="zh-CN"/>
        </w:rPr>
        <w:t>熙彩</w:t>
      </w:r>
      <w:r>
        <w:rPr>
          <w:rFonts w:hint="default" w:ascii="Times New Roman" w:hAnsi="Times New Roman" w:cs="Times New Roman"/>
          <w:color w:val="auto"/>
          <w:kern w:val="21"/>
          <w:sz w:val="24"/>
          <w:szCs w:val="24"/>
          <w:highlight w:val="none"/>
          <w:lang w:val="zh-CN"/>
        </w:rPr>
        <w:t>变</w:t>
      </w:r>
      <w:r>
        <w:rPr>
          <w:rFonts w:hint="default" w:ascii="Times New Roman" w:hAnsi="Times New Roman" w:cs="Times New Roman"/>
          <w:color w:val="auto"/>
          <w:kern w:val="21"/>
          <w:sz w:val="24"/>
          <w:szCs w:val="24"/>
          <w:highlight w:val="none"/>
          <w:lang w:val="zh-CN" w:eastAsia="zh-CN"/>
        </w:rPr>
        <w:t>最大回路工作电流为</w:t>
      </w:r>
      <w:r>
        <w:rPr>
          <w:rFonts w:hint="default" w:ascii="Times New Roman" w:hAnsi="Times New Roman" w:cs="Times New Roman"/>
          <w:color w:val="auto"/>
          <w:kern w:val="21"/>
          <w:sz w:val="24"/>
          <w:szCs w:val="24"/>
          <w:highlight w:val="none"/>
          <w:lang w:val="en-US" w:eastAsia="zh-CN"/>
        </w:rPr>
        <w:t>375A。</w:t>
      </w:r>
    </w:p>
    <w:p>
      <w:pPr>
        <w:keepNext w:val="0"/>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cs="Times New Roman"/>
          <w:color w:val="auto"/>
          <w:kern w:val="21"/>
          <w:sz w:val="24"/>
          <w:szCs w:val="24"/>
          <w:highlight w:val="none"/>
          <w:lang w:val="en-US" w:eastAsia="zh-CN"/>
        </w:rPr>
      </w:pPr>
      <w:r>
        <w:rPr>
          <w:rFonts w:hint="default" w:ascii="Times New Roman" w:hAnsi="Times New Roman" w:cs="Times New Roman"/>
          <w:color w:val="auto"/>
          <w:kern w:val="21"/>
          <w:sz w:val="24"/>
          <w:szCs w:val="24"/>
          <w:highlight w:val="none"/>
          <w:lang w:val="en-US" w:eastAsia="zh-CN"/>
        </w:rPr>
        <w:t xml:space="preserve"> </w:t>
      </w:r>
      <w:r>
        <w:rPr>
          <w:rFonts w:hint="default" w:ascii="Times New Roman" w:hAnsi="Times New Roman" w:cs="Times New Roman"/>
          <w:color w:val="auto"/>
          <w:kern w:val="21"/>
          <w:sz w:val="24"/>
          <w:szCs w:val="24"/>
          <w:highlight w:val="none"/>
          <w:lang w:val="zh-CN"/>
        </w:rPr>
        <w:t>110kV熙彩变</w:t>
      </w:r>
      <w:r>
        <w:rPr>
          <w:rFonts w:hint="default" w:ascii="Times New Roman" w:hAnsi="Times New Roman" w:cs="Times New Roman"/>
          <w:color w:val="auto"/>
          <w:kern w:val="21"/>
          <w:sz w:val="24"/>
          <w:szCs w:val="24"/>
          <w:highlight w:val="none"/>
          <w:lang w:val="zh-CN" w:eastAsia="zh-CN"/>
        </w:rPr>
        <w:t>内桥开关最大回路工作电流为</w:t>
      </w:r>
      <w:r>
        <w:rPr>
          <w:rFonts w:hint="default" w:ascii="Times New Roman" w:hAnsi="Times New Roman" w:cs="Times New Roman"/>
          <w:color w:val="auto"/>
          <w:kern w:val="21"/>
          <w:sz w:val="24"/>
          <w:szCs w:val="24"/>
          <w:highlight w:val="none"/>
          <w:lang w:val="en-US" w:eastAsia="zh-CN"/>
        </w:rPr>
        <w:t>210A。</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 xml:space="preserve">  母线通流容量</w:t>
      </w:r>
    </w:p>
    <w:p>
      <w:pPr>
        <w:keepNext w:val="0"/>
        <w:keepLines w:val="0"/>
        <w:pageBreakBefore w:val="0"/>
        <w:widowControl/>
        <w:tabs>
          <w:tab w:val="left" w:pos="360"/>
          <w:tab w:val="left" w:pos="540"/>
          <w:tab w:val="left" w:pos="567"/>
          <w:tab w:val="left" w:pos="897"/>
          <w:tab w:val="left" w:pos="4480"/>
        </w:tabs>
        <w:kinsoku/>
        <w:wordWrap/>
        <w:overflowPunct/>
        <w:topLinePunct w:val="0"/>
        <w:autoSpaceDE/>
        <w:autoSpaceDN/>
        <w:bidi w:val="0"/>
        <w:adjustRightInd w:val="0"/>
        <w:snapToGrid/>
        <w:spacing w:line="460" w:lineRule="exact"/>
        <w:ind w:firstLine="480" w:firstLineChars="200"/>
        <w:textAlignment w:val="auto"/>
        <w:outlineLvl w:val="9"/>
        <w:rPr>
          <w:rFonts w:hint="default" w:ascii="Times New Roman" w:hAnsi="Times New Roman" w:eastAsia="宋体" w:cs="Times New Roman"/>
          <w:color w:val="auto"/>
          <w:kern w:val="21"/>
          <w:sz w:val="24"/>
          <w:szCs w:val="24"/>
          <w:highlight w:val="none"/>
          <w:lang w:val="en-US" w:eastAsia="zh-CN"/>
        </w:rPr>
      </w:pPr>
      <w:bookmarkStart w:id="219" w:name="_Toc31138"/>
      <w:r>
        <w:rPr>
          <w:rFonts w:hint="default" w:ascii="Times New Roman" w:hAnsi="Times New Roman" w:eastAsia="宋体" w:cs="Times New Roman"/>
          <w:color w:val="auto"/>
          <w:kern w:val="21"/>
          <w:sz w:val="24"/>
          <w:szCs w:val="24"/>
          <w:highlight w:val="none"/>
          <w:lang w:val="zh-CN"/>
        </w:rPr>
        <w:t>根据110kV</w:t>
      </w:r>
      <w:r>
        <w:rPr>
          <w:rFonts w:hint="default" w:ascii="Times New Roman" w:hAnsi="Times New Roman" w:cs="Times New Roman"/>
          <w:color w:val="auto"/>
          <w:sz w:val="24"/>
          <w:szCs w:val="24"/>
          <w:highlight w:val="none"/>
          <w:lang w:eastAsia="zh-CN"/>
        </w:rPr>
        <w:t>青山</w:t>
      </w:r>
      <w:r>
        <w:rPr>
          <w:rFonts w:hint="default" w:ascii="Times New Roman" w:hAnsi="Times New Roman" w:cs="Times New Roman"/>
          <w:color w:val="auto"/>
          <w:sz w:val="24"/>
          <w:szCs w:val="24"/>
          <w:highlight w:val="none"/>
        </w:rPr>
        <w:t>变</w:t>
      </w:r>
      <w:r>
        <w:rPr>
          <w:rFonts w:hint="default" w:ascii="Times New Roman" w:hAnsi="Times New Roman" w:eastAsia="宋体" w:cs="Times New Roman"/>
          <w:color w:val="auto"/>
          <w:kern w:val="21"/>
          <w:sz w:val="24"/>
          <w:szCs w:val="24"/>
          <w:highlight w:val="none"/>
          <w:lang w:val="zh-CN"/>
        </w:rPr>
        <w:t>接入系统方案，考虑本期相关电网规划，经计算，110kV</w:t>
      </w:r>
      <w:r>
        <w:rPr>
          <w:rFonts w:hint="default" w:ascii="Times New Roman" w:hAnsi="Times New Roman" w:eastAsia="宋体" w:cs="Times New Roman"/>
          <w:color w:val="auto"/>
          <w:kern w:val="21"/>
          <w:sz w:val="24"/>
          <w:szCs w:val="24"/>
          <w:highlight w:val="none"/>
          <w:lang w:val="zh-CN" w:eastAsia="zh-CN"/>
        </w:rPr>
        <w:t>青山变母线通流容量</w:t>
      </w:r>
      <w:r>
        <w:rPr>
          <w:rFonts w:hint="default" w:ascii="Times New Roman" w:hAnsi="Times New Roman" w:eastAsia="宋体" w:cs="Times New Roman"/>
          <w:color w:val="auto"/>
          <w:kern w:val="21"/>
          <w:sz w:val="24"/>
          <w:szCs w:val="24"/>
          <w:highlight w:val="none"/>
          <w:lang w:val="en-US" w:eastAsia="zh-CN"/>
        </w:rPr>
        <w:t>60MVA。110kV</w:t>
      </w:r>
      <w:r>
        <w:rPr>
          <w:rFonts w:hint="default" w:ascii="Times New Roman" w:hAnsi="Times New Roman" w:eastAsia="宋体" w:cs="Times New Roman"/>
          <w:color w:val="auto"/>
          <w:kern w:val="21"/>
          <w:sz w:val="24"/>
          <w:szCs w:val="24"/>
          <w:highlight w:val="none"/>
          <w:lang w:val="zh-CN" w:eastAsia="zh-CN"/>
        </w:rPr>
        <w:t>杜家庵本期</w:t>
      </w:r>
      <w:r>
        <w:rPr>
          <w:rFonts w:hint="default" w:ascii="Times New Roman" w:hAnsi="Times New Roman" w:eastAsia="宋体" w:cs="Times New Roman"/>
          <w:color w:val="auto"/>
          <w:kern w:val="21"/>
          <w:sz w:val="24"/>
          <w:szCs w:val="24"/>
          <w:highlight w:val="none"/>
          <w:lang w:val="en-US" w:eastAsia="zh-CN"/>
        </w:rPr>
        <w:t>母线通流容量432MVA,110kV</w:t>
      </w:r>
      <w:r>
        <w:rPr>
          <w:rFonts w:hint="default" w:ascii="Times New Roman" w:hAnsi="Times New Roman" w:eastAsia="宋体" w:cs="Times New Roman"/>
          <w:color w:val="auto"/>
          <w:kern w:val="21"/>
          <w:sz w:val="24"/>
          <w:szCs w:val="24"/>
          <w:highlight w:val="none"/>
          <w:lang w:val="zh-CN" w:eastAsia="zh-CN"/>
        </w:rPr>
        <w:t>杜家庵远期</w:t>
      </w:r>
      <w:r>
        <w:rPr>
          <w:rFonts w:hint="default" w:ascii="Times New Roman" w:hAnsi="Times New Roman" w:eastAsia="宋体" w:cs="Times New Roman"/>
          <w:color w:val="auto"/>
          <w:kern w:val="21"/>
          <w:sz w:val="24"/>
          <w:szCs w:val="24"/>
          <w:highlight w:val="none"/>
          <w:lang w:val="en-US" w:eastAsia="zh-CN"/>
        </w:rPr>
        <w:t>母线通流容量540MVA。</w:t>
      </w:r>
    </w:p>
    <w:p>
      <w:pPr>
        <w:keepNext w:val="0"/>
        <w:keepLines w:val="0"/>
        <w:pageBreakBefore w:val="0"/>
        <w:widowControl/>
        <w:tabs>
          <w:tab w:val="left" w:pos="360"/>
          <w:tab w:val="left" w:pos="540"/>
          <w:tab w:val="left" w:pos="567"/>
          <w:tab w:val="left" w:pos="897"/>
          <w:tab w:val="left" w:pos="4480"/>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20" w:name="_Toc844"/>
      <w:r>
        <w:rPr>
          <w:rFonts w:hint="default" w:ascii="Times New Roman" w:hAnsi="Times New Roman" w:cs="Times New Roman"/>
          <w:color w:val="auto"/>
          <w:kern w:val="21"/>
          <w:sz w:val="24"/>
          <w:szCs w:val="24"/>
          <w:highlight w:val="none"/>
          <w:lang w:val="en-US" w:eastAsia="zh-CN"/>
        </w:rPr>
        <w:t>2.3  无功补偿及调压计算</w:t>
      </w:r>
      <w:bookmarkEnd w:id="219"/>
      <w:bookmarkEnd w:id="220"/>
    </w:p>
    <w:p>
      <w:pPr>
        <w:keepNext w:val="0"/>
        <w:keepLines w:val="0"/>
        <w:pageBreakBefore w:val="0"/>
        <w:widowControl/>
        <w:kinsoku/>
        <w:wordWrap/>
        <w:overflowPunct/>
        <w:topLinePunct w:val="0"/>
        <w:autoSpaceDE/>
        <w:autoSpaceDN/>
        <w:bidi w:val="0"/>
        <w:snapToGrid/>
        <w:spacing w:line="460" w:lineRule="exact"/>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2.3</w:t>
      </w:r>
      <w:r>
        <w:rPr>
          <w:rFonts w:hint="default" w:ascii="Times New Roman" w:hAnsi="Times New Roman" w:cs="Times New Roman"/>
          <w:color w:val="auto"/>
          <w:sz w:val="24"/>
          <w:szCs w:val="24"/>
          <w:highlight w:val="none"/>
        </w:rPr>
        <w:t>.1 计算的前提条件</w:t>
      </w:r>
    </w:p>
    <w:p>
      <w:pPr>
        <w:keepNext w:val="0"/>
        <w:keepLines w:val="0"/>
        <w:pageBreakBefore w:val="0"/>
        <w:widowControl/>
        <w:tabs>
          <w:tab w:val="left" w:pos="420"/>
        </w:tabs>
        <w:kinsoku/>
        <w:wordWrap/>
        <w:overflowPunct/>
        <w:topLinePunct w:val="0"/>
        <w:autoSpaceDE/>
        <w:autoSpaceDN/>
        <w:adjustRightInd/>
        <w:snapToGrid/>
        <w:spacing w:line="46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（1）遵循原则</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依照《电力系统电压和无功电力管理条例》，遵循无功电力分层、分区、就地平衡原则和相应的调压措施配置原则。</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参考《国家电网公司电力系统无功补偿配置技术原则》有关功率因数的规定，110kV变电站的容性无功补偿以补偿主变压器无功损耗为主，并适当兼顾负荷侧的无功损耗。补偿容量按照主变压器容量的15%～30%配置，并满足110kV主变压器最大负荷时，其高压侧功率因数不低于0.95，最小负荷时功率因数不应高于0.95、不低于0.92。</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（2）负荷</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val="zh-CN" w:eastAsia="zh-CN"/>
        </w:rPr>
        <w:t>变</w:t>
      </w:r>
      <w:r>
        <w:rPr>
          <w:rFonts w:hint="default" w:ascii="Times New Roman" w:hAnsi="Times New Roman" w:cs="Times New Roman"/>
          <w:color w:val="auto"/>
          <w:sz w:val="24"/>
          <w:szCs w:val="24"/>
          <w:highlight w:val="none"/>
          <w:lang w:val="en-US" w:eastAsia="zh-CN"/>
        </w:rPr>
        <w:t>位于安阳市龙安区马投涧乡鑫康大道与岷山路交叉口西南角。</w:t>
      </w:r>
      <w:r>
        <w:rPr>
          <w:rFonts w:hint="default" w:ascii="Times New Roman" w:hAnsi="Times New Roman" w:cs="Times New Roman"/>
          <w:color w:val="auto"/>
          <w:sz w:val="24"/>
          <w:szCs w:val="24"/>
          <w:highlight w:val="none"/>
          <w:lang w:val="zh-CN" w:eastAsia="zh-CN"/>
        </w:rPr>
        <w:t xml:space="preserve"> 主要是</w:t>
      </w:r>
      <w:r>
        <w:rPr>
          <w:rFonts w:hint="default" w:ascii="Times New Roman" w:hAnsi="Times New Roman" w:cs="Times New Roman"/>
          <w:color w:val="auto"/>
          <w:sz w:val="24"/>
          <w:szCs w:val="24"/>
          <w:highlight w:val="none"/>
          <w:lang w:val="en-US" w:eastAsia="zh-CN"/>
        </w:rPr>
        <w:t>工业用地</w:t>
      </w:r>
      <w:r>
        <w:rPr>
          <w:rFonts w:hint="default" w:ascii="Times New Roman" w:hAnsi="Times New Roman" w:cs="Times New Roman"/>
          <w:color w:val="auto"/>
          <w:sz w:val="24"/>
          <w:szCs w:val="24"/>
          <w:highlight w:val="none"/>
          <w:lang w:val="zh-CN" w:eastAsia="zh-CN"/>
        </w:rPr>
        <w:t>负荷。</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en-US" w:eastAsia="zh-CN"/>
        </w:rPr>
        <w:t>2021</w:t>
      </w:r>
      <w:r>
        <w:rPr>
          <w:rFonts w:hint="default" w:ascii="Times New Roman" w:hAnsi="Times New Roman" w:cs="Times New Roman"/>
          <w:color w:val="auto"/>
          <w:sz w:val="24"/>
          <w:szCs w:val="24"/>
          <w:highlight w:val="none"/>
          <w:lang w:val="zh-CN" w:eastAsia="zh-CN"/>
        </w:rPr>
        <w:t>年：</w:t>
      </w:r>
      <w:r>
        <w:rPr>
          <w:rFonts w:hint="default" w:ascii="Times New Roman" w:hAnsi="Times New Roman" w:cs="Times New Roman"/>
          <w:color w:val="auto"/>
          <w:sz w:val="24"/>
          <w:szCs w:val="24"/>
          <w:highlight w:val="none"/>
          <w:lang w:val="en-US" w:eastAsia="zh-CN"/>
        </w:rPr>
        <w:t>48</w:t>
      </w:r>
      <w:r>
        <w:rPr>
          <w:rFonts w:hint="default" w:ascii="Times New Roman" w:hAnsi="Times New Roman" w:cs="Times New Roman"/>
          <w:color w:val="auto"/>
          <w:sz w:val="24"/>
          <w:szCs w:val="24"/>
          <w:highlight w:val="none"/>
          <w:lang w:val="zh-CN" w:eastAsia="zh-CN"/>
        </w:rPr>
        <w:t>MW。</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远期：</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正常方式取主变容量的80%。</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取主变满载时，一台主变停运。</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检修方式取主变容量的80%。</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电容器不运行时，10kV侧负荷功率因数取0.94。</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（3）电压</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安阳地调规程规定：110kV母线电压运行范围为：110～119kV</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10kV母线电压运行范围为：10～10.7kV</w:t>
      </w:r>
    </w:p>
    <w:p>
      <w:pPr>
        <w:keepNext w:val="0"/>
        <w:keepLines w:val="0"/>
        <w:pageBreakBefore w:val="0"/>
        <w:numPr>
          <w:ilvl w:val="0"/>
          <w:numId w:val="0"/>
        </w:numPr>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以上述电压范围作为计算依据。</w:t>
      </w:r>
    </w:p>
    <w:p>
      <w:pPr>
        <w:keepNext w:val="0"/>
        <w:keepLines w:val="0"/>
        <w:pageBreakBefore w:val="0"/>
        <w:numPr>
          <w:ilvl w:val="0"/>
          <w:numId w:val="0"/>
        </w:numPr>
        <w:kinsoku/>
        <w:wordWrap/>
        <w:overflowPunct/>
        <w:topLinePunct w:val="0"/>
        <w:autoSpaceDE/>
        <w:autoSpaceDN/>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val="zh-CN" w:eastAsia="zh-CN"/>
        </w:rPr>
        <w:t>变变压器电压比为：110±8×1.25%/10.5kV</w:t>
      </w:r>
    </w:p>
    <w:p>
      <w:pPr>
        <w:keepNext w:val="0"/>
        <w:keepLines w:val="0"/>
        <w:pageBreakBefore w:val="0"/>
        <w:numPr>
          <w:ilvl w:val="0"/>
          <w:numId w:val="0"/>
        </w:numPr>
        <w:kinsoku/>
        <w:wordWrap/>
        <w:overflowPunct/>
        <w:topLinePunct w:val="0"/>
        <w:autoSpaceDE/>
        <w:autoSpaceDN/>
        <w:spacing w:line="460" w:lineRule="exact"/>
        <w:ind w:firstLine="480" w:firstLineChars="200"/>
        <w:textAlignment w:val="auto"/>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zh-CN" w:eastAsia="zh-CN"/>
        </w:rPr>
        <w:t>）运行方式</w:t>
      </w:r>
    </w:p>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表</w:t>
      </w:r>
      <w:r>
        <w:rPr>
          <w:rFonts w:hint="default" w:ascii="Times New Roman" w:hAnsi="Times New Roman" w:cs="Times New Roman"/>
          <w:color w:val="auto"/>
          <w:sz w:val="24"/>
          <w:szCs w:val="24"/>
          <w:highlight w:val="none"/>
          <w:lang w:val="en-US" w:eastAsia="zh-CN"/>
        </w:rPr>
        <w:t>2-5青山</w:t>
      </w:r>
      <w:r>
        <w:rPr>
          <w:rFonts w:hint="default" w:ascii="Times New Roman" w:hAnsi="Times New Roman" w:cs="Times New Roman"/>
          <w:color w:val="auto"/>
          <w:sz w:val="24"/>
          <w:szCs w:val="24"/>
          <w:highlight w:val="none"/>
          <w:lang w:val="zh-CN"/>
        </w:rPr>
        <w:t>变运行方式选取表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05"/>
        <w:gridCol w:w="5020"/>
        <w:gridCol w:w="20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8" w:type="dxa"/>
            <w:gridSpan w:val="3"/>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运行方式</w:t>
            </w:r>
          </w:p>
        </w:tc>
        <w:tc>
          <w:tcPr>
            <w:tcW w:w="2058" w:type="dxa"/>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83" w:type="dxa"/>
            <w:vMerge w:val="restart"/>
            <w:noWrap w:val="0"/>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2021年</w:t>
            </w:r>
            <w:r>
              <w:rPr>
                <w:rFonts w:hint="default" w:ascii="Times New Roman" w:hAnsi="Times New Roman" w:eastAsia="宋体" w:cs="Times New Roman"/>
                <w:color w:val="auto"/>
                <w:sz w:val="24"/>
                <w:szCs w:val="24"/>
                <w:highlight w:val="none"/>
                <w:lang w:eastAsia="zh-CN"/>
              </w:rPr>
              <w:t>及远期</w:t>
            </w:r>
          </w:p>
        </w:tc>
        <w:tc>
          <w:tcPr>
            <w:tcW w:w="1605" w:type="dxa"/>
            <w:vMerge w:val="restart"/>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大负荷</w:t>
            </w:r>
          </w:p>
        </w:tc>
        <w:tc>
          <w:tcPr>
            <w:tcW w:w="5020" w:type="dxa"/>
            <w:noWrap w:val="0"/>
            <w:vAlign w:val="center"/>
          </w:tcPr>
          <w:p>
            <w:pPr>
              <w:widowControl/>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正常方式</w:t>
            </w:r>
          </w:p>
        </w:tc>
        <w:tc>
          <w:tcPr>
            <w:tcW w:w="2058" w:type="dxa"/>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32+16</w:t>
            </w:r>
            <w:r>
              <w:rPr>
                <w:rFonts w:hint="default" w:ascii="Times New Roman" w:hAnsi="Times New Roman" w:eastAsia="宋体" w:cs="Times New Roman"/>
                <w:color w:val="auto"/>
                <w:sz w:val="24"/>
                <w:szCs w:val="24"/>
                <w:highlight w:val="none"/>
              </w:rPr>
              <w:t>MW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83" w:type="dxa"/>
            <w:vMerge w:val="continue"/>
            <w:noWrap w:val="0"/>
            <w:vAlign w:val="center"/>
          </w:tcPr>
          <w:p>
            <w:pPr>
              <w:widowControl/>
              <w:jc w:val="center"/>
              <w:rPr>
                <w:rFonts w:hint="default" w:ascii="Times New Roman" w:hAnsi="Times New Roman" w:eastAsia="宋体" w:cs="Times New Roman"/>
                <w:color w:val="auto"/>
                <w:sz w:val="24"/>
                <w:szCs w:val="24"/>
                <w:highlight w:val="none"/>
              </w:rPr>
            </w:pPr>
          </w:p>
        </w:tc>
        <w:tc>
          <w:tcPr>
            <w:tcW w:w="1605" w:type="dxa"/>
            <w:vMerge w:val="continue"/>
            <w:noWrap w:val="0"/>
            <w:vAlign w:val="center"/>
          </w:tcPr>
          <w:p>
            <w:pPr>
              <w:widowControl/>
              <w:jc w:val="center"/>
              <w:rPr>
                <w:rFonts w:hint="default" w:ascii="Times New Roman" w:hAnsi="Times New Roman" w:eastAsia="宋体" w:cs="Times New Roman"/>
                <w:color w:val="auto"/>
                <w:sz w:val="24"/>
                <w:szCs w:val="24"/>
                <w:highlight w:val="none"/>
              </w:rPr>
            </w:pPr>
          </w:p>
        </w:tc>
        <w:tc>
          <w:tcPr>
            <w:tcW w:w="5020" w:type="dxa"/>
            <w:noWrap w:val="0"/>
            <w:vAlign w:val="center"/>
          </w:tcPr>
          <w:p>
            <w:pPr>
              <w:widowControl/>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N-1方式，</w:t>
            </w:r>
            <w:r>
              <w:rPr>
                <w:rFonts w:hint="default" w:ascii="Times New Roman" w:hAnsi="Times New Roman" w:eastAsia="宋体" w:cs="Times New Roman"/>
                <w:color w:val="auto"/>
                <w:sz w:val="24"/>
                <w:szCs w:val="24"/>
                <w:highlight w:val="none"/>
                <w:lang w:eastAsia="zh-CN"/>
              </w:rPr>
              <w:t>香木</w:t>
            </w:r>
            <w:r>
              <w:rPr>
                <w:rFonts w:hint="default" w:ascii="Times New Roman" w:hAnsi="Times New Roman" w:eastAsia="宋体" w:cs="Times New Roman"/>
                <w:color w:val="auto"/>
                <w:sz w:val="24"/>
                <w:szCs w:val="24"/>
                <w:highlight w:val="none"/>
              </w:rPr>
              <w:t>变―</w:t>
            </w:r>
            <w:r>
              <w:rPr>
                <w:rFonts w:hint="default" w:ascii="Times New Roman" w:hAnsi="Times New Roman" w:eastAsia="宋体" w:cs="Times New Roman"/>
                <w:color w:val="auto"/>
                <w:sz w:val="24"/>
                <w:szCs w:val="24"/>
                <w:highlight w:val="none"/>
                <w:lang w:val="en-US" w:eastAsia="zh-CN"/>
              </w:rPr>
              <w:t>熙彩</w:t>
            </w:r>
            <w:r>
              <w:rPr>
                <w:rFonts w:hint="default" w:ascii="Times New Roman" w:hAnsi="Times New Roman" w:eastAsia="宋体" w:cs="Times New Roman"/>
                <w:color w:val="auto"/>
                <w:sz w:val="24"/>
                <w:szCs w:val="24"/>
                <w:highlight w:val="none"/>
              </w:rPr>
              <w:t>变线路停运</w:t>
            </w:r>
          </w:p>
        </w:tc>
        <w:tc>
          <w:tcPr>
            <w:tcW w:w="2058" w:type="dxa"/>
            <w:noWrap w:val="0"/>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32+16+30MW</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2.3.2</w:t>
      </w:r>
      <w:r>
        <w:rPr>
          <w:rFonts w:hint="default" w:ascii="Times New Roman" w:hAnsi="Times New Roman" w:eastAsia="宋体" w:cs="Times New Roman"/>
          <w:color w:val="auto"/>
          <w:sz w:val="24"/>
          <w:szCs w:val="24"/>
          <w:highlight w:val="none"/>
        </w:rPr>
        <w:t xml:space="preserve"> 计算结果</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 xml:space="preserve"> </w:t>
      </w:r>
      <w:r>
        <w:rPr>
          <w:rFonts w:hint="default" w:ascii="Times New Roman" w:hAnsi="Times New Roman" w:eastAsia="宋体" w:cs="Times New Roman"/>
          <w:snapToGrid w:val="0"/>
          <w:color w:val="auto"/>
          <w:kern w:val="21"/>
          <w:sz w:val="24"/>
          <w:szCs w:val="24"/>
          <w:highlight w:val="none"/>
          <w:lang w:val="en-US" w:eastAsia="zh-CN"/>
        </w:rPr>
        <w:t>青山</w:t>
      </w:r>
      <w:r>
        <w:rPr>
          <w:rFonts w:hint="default" w:ascii="Times New Roman" w:hAnsi="Times New Roman" w:eastAsia="宋体" w:cs="Times New Roman"/>
          <w:snapToGrid w:val="0"/>
          <w:color w:val="auto"/>
          <w:kern w:val="21"/>
          <w:sz w:val="24"/>
          <w:szCs w:val="24"/>
          <w:highlight w:val="none"/>
        </w:rPr>
        <w:t>变无功补偿及调压计算结果见表</w:t>
      </w:r>
      <w:r>
        <w:rPr>
          <w:rFonts w:hint="default" w:ascii="Times New Roman" w:hAnsi="Times New Roman" w:eastAsia="宋体" w:cs="Times New Roman"/>
          <w:snapToGrid w:val="0"/>
          <w:color w:val="auto"/>
          <w:kern w:val="21"/>
          <w:sz w:val="24"/>
          <w:szCs w:val="24"/>
          <w:highlight w:val="none"/>
          <w:lang w:val="en-US" w:eastAsia="zh-CN"/>
        </w:rPr>
        <w:t>2-6</w:t>
      </w:r>
      <w:r>
        <w:rPr>
          <w:rFonts w:hint="default" w:ascii="Times New Roman" w:hAnsi="Times New Roman" w:eastAsia="宋体" w:cs="Times New Roman"/>
          <w:snapToGrid w:val="0"/>
          <w:color w:val="auto"/>
          <w:kern w:val="21"/>
          <w:sz w:val="24"/>
          <w:szCs w:val="24"/>
          <w:highlight w:val="none"/>
        </w:rPr>
        <w:t>：</w:t>
      </w:r>
    </w:p>
    <w:p>
      <w:pPr>
        <w:keepNext w:val="0"/>
        <w:keepLines w:val="0"/>
        <w:pageBreakBefore w:val="0"/>
        <w:kinsoku/>
        <w:wordWrap/>
        <w:overflowPunct/>
        <w:topLinePunct w:val="0"/>
        <w:autoSpaceDE/>
        <w:bidi w:val="0"/>
        <w:adjustRightInd/>
        <w:snapToGrid/>
        <w:spacing w:line="4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CN"/>
        </w:rPr>
        <w:t>表</w:t>
      </w:r>
      <w:r>
        <w:rPr>
          <w:rFonts w:hint="default" w:ascii="Times New Roman" w:hAnsi="Times New Roman" w:eastAsia="宋体" w:cs="Times New Roman"/>
          <w:color w:val="auto"/>
          <w:sz w:val="24"/>
          <w:szCs w:val="24"/>
          <w:highlight w:val="none"/>
          <w:lang w:val="en-US" w:eastAsia="zh-CN"/>
        </w:rPr>
        <w:t xml:space="preserve">2-6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2021</w:t>
      </w:r>
      <w:r>
        <w:rPr>
          <w:rFonts w:hint="default" w:ascii="Times New Roman" w:hAnsi="Times New Roman" w:eastAsia="宋体" w:cs="Times New Roman"/>
          <w:color w:val="auto"/>
          <w:sz w:val="24"/>
          <w:szCs w:val="24"/>
          <w:highlight w:val="none"/>
          <w:lang w:eastAsia="zh-CN"/>
        </w:rPr>
        <w:t>及远期</w:t>
      </w:r>
      <w:r>
        <w:rPr>
          <w:rFonts w:hint="default" w:ascii="Times New Roman" w:hAnsi="Times New Roman" w:eastAsia="宋体" w:cs="Times New Roman"/>
          <w:color w:val="auto"/>
          <w:sz w:val="24"/>
          <w:szCs w:val="24"/>
          <w:highlight w:val="none"/>
          <w:lang w:val="en-US" w:eastAsia="zh-CN"/>
        </w:rPr>
        <w:t>青山</w:t>
      </w:r>
      <w:r>
        <w:rPr>
          <w:rFonts w:hint="default" w:ascii="Times New Roman" w:hAnsi="Times New Roman" w:eastAsia="宋体" w:cs="Times New Roman"/>
          <w:color w:val="auto"/>
          <w:sz w:val="24"/>
          <w:szCs w:val="24"/>
          <w:highlight w:val="none"/>
          <w:lang w:val="zh-CN"/>
        </w:rPr>
        <w:t>变</w:t>
      </w:r>
      <w:r>
        <w:rPr>
          <w:rFonts w:hint="default" w:ascii="Times New Roman" w:hAnsi="Times New Roman" w:eastAsia="宋体" w:cs="Times New Roman"/>
          <w:color w:val="auto"/>
          <w:sz w:val="24"/>
          <w:szCs w:val="24"/>
          <w:highlight w:val="none"/>
        </w:rPr>
        <w:t>无功补偿及调压计算结果表</w:t>
      </w:r>
    </w:p>
    <w:p>
      <w:pPr>
        <w:widowControl/>
        <w:spacing w:line="460" w:lineRule="exact"/>
        <w:jc w:val="center"/>
        <w:rPr>
          <w:rFonts w:hint="default" w:ascii="Times New Roman" w:hAnsi="Times New Roman" w:eastAsia="宋体" w:cs="Times New Roman"/>
          <w:color w:val="auto"/>
          <w:kern w:val="0"/>
          <w:sz w:val="24"/>
          <w:szCs w:val="24"/>
          <w:highlight w:val="none"/>
        </w:rPr>
      </w:pPr>
    </w:p>
    <w:p>
      <w:pPr>
        <w:widowControl/>
        <w:spacing w:line="460" w:lineRule="exact"/>
        <w:jc w:val="center"/>
        <w:rPr>
          <w:rFonts w:hint="default" w:ascii="Times New Roman" w:hAnsi="Times New Roman" w:eastAsia="宋体" w:cs="Times New Roman"/>
          <w:color w:val="auto"/>
          <w:kern w:val="0"/>
          <w:sz w:val="24"/>
          <w:szCs w:val="24"/>
          <w:highlight w:val="none"/>
        </w:rPr>
      </w:pPr>
    </w:p>
    <w:tbl>
      <w:tblPr>
        <w:tblStyle w:val="50"/>
        <w:tblpPr w:leftFromText="180" w:rightFromText="180" w:vertAnchor="page" w:horzAnchor="page" w:tblpX="1254" w:tblpY="161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77"/>
        <w:gridCol w:w="1627"/>
        <w:gridCol w:w="1211"/>
        <w:gridCol w:w="1143"/>
        <w:gridCol w:w="1073"/>
        <w:gridCol w:w="1113"/>
        <w:gridCol w:w="1206"/>
        <w:gridCol w:w="8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运行方式</w:t>
            </w: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降压容量</w:t>
            </w:r>
          </w:p>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（MW）</w:t>
            </w:r>
          </w:p>
        </w:tc>
        <w:tc>
          <w:tcPr>
            <w:tcW w:w="162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变压器抽头位置</w:t>
            </w:r>
          </w:p>
        </w:tc>
        <w:tc>
          <w:tcPr>
            <w:tcW w:w="3427" w:type="dxa"/>
            <w:gridSpan w:val="3"/>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母线电压</w:t>
            </w:r>
          </w:p>
        </w:tc>
        <w:tc>
          <w:tcPr>
            <w:tcW w:w="1113"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主变无功损耗（Mvar）</w:t>
            </w:r>
          </w:p>
        </w:tc>
        <w:tc>
          <w:tcPr>
            <w:tcW w:w="1206"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变压器一次侧功率因数</w:t>
            </w:r>
          </w:p>
        </w:tc>
        <w:tc>
          <w:tcPr>
            <w:tcW w:w="854"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补偿容量（Mvar）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11" w:type="dxa"/>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110kV</w:t>
            </w:r>
          </w:p>
        </w:tc>
        <w:tc>
          <w:tcPr>
            <w:tcW w:w="1143" w:type="dxa"/>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10kV</w:t>
            </w:r>
          </w:p>
        </w:tc>
        <w:tc>
          <w:tcPr>
            <w:tcW w:w="1073" w:type="dxa"/>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波动率</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正常大负荷方式</w:t>
            </w:r>
          </w:p>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32</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116.875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112.50</w:t>
            </w:r>
            <w:r>
              <w:rPr>
                <w:rFonts w:hint="default" w:ascii="Times New Roman" w:hAnsi="Times New Roman" w:eastAsia="宋体" w:cs="Times New Roman"/>
                <w:color w:val="auto"/>
                <w:kern w:val="0"/>
                <w:sz w:val="24"/>
                <w:szCs w:val="24"/>
                <w:highlight w:val="none"/>
              </w:rPr>
              <w:t xml:space="preserve"> </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9.82</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p>
        </w:tc>
        <w:tc>
          <w:tcPr>
            <w:tcW w:w="1113"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3.48</w:t>
            </w:r>
            <w:r>
              <w:rPr>
                <w:rFonts w:hint="default" w:ascii="Times New Roman" w:hAnsi="Times New Roman" w:eastAsia="宋体" w:cs="Times New Roman"/>
                <w:color w:val="auto"/>
                <w:kern w:val="0"/>
                <w:sz w:val="24"/>
                <w:szCs w:val="24"/>
                <w:highlight w:val="none"/>
              </w:rPr>
              <w:t xml:space="preserve"> </w:t>
            </w:r>
          </w:p>
        </w:tc>
        <w:tc>
          <w:tcPr>
            <w:tcW w:w="1206"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0.9</w:t>
            </w:r>
            <w:r>
              <w:rPr>
                <w:rFonts w:hint="default" w:ascii="Times New Roman" w:hAnsi="Times New Roman" w:eastAsia="宋体" w:cs="Times New Roman"/>
                <w:color w:val="auto"/>
                <w:kern w:val="0"/>
                <w:sz w:val="24"/>
                <w:szCs w:val="24"/>
                <w:highlight w:val="none"/>
                <w:lang w:val="en-US" w:eastAsia="zh-CN"/>
              </w:rPr>
              <w:t>05</w:t>
            </w:r>
            <w:r>
              <w:rPr>
                <w:rFonts w:hint="default" w:ascii="Times New Roman" w:hAnsi="Times New Roman" w:eastAsia="宋体" w:cs="Times New Roman"/>
                <w:color w:val="auto"/>
                <w:kern w:val="0"/>
                <w:sz w:val="24"/>
                <w:szCs w:val="24"/>
                <w:highlight w:val="none"/>
              </w:rPr>
              <w:t xml:space="preserve"> </w:t>
            </w:r>
          </w:p>
        </w:tc>
        <w:tc>
          <w:tcPr>
            <w:tcW w:w="854"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115.5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112.50</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94</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114.125/10.5</w:t>
            </w:r>
          </w:p>
        </w:tc>
        <w:tc>
          <w:tcPr>
            <w:tcW w:w="1211"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112.50</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10.05</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32</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116.875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114.14</w:t>
            </w:r>
            <w:r>
              <w:rPr>
                <w:rFonts w:hint="default" w:ascii="Times New Roman" w:hAnsi="Times New Roman" w:eastAsia="宋体" w:cs="Times New Roman"/>
                <w:color w:val="auto"/>
                <w:kern w:val="0"/>
                <w:sz w:val="24"/>
                <w:szCs w:val="24"/>
                <w:highlight w:val="none"/>
              </w:rPr>
              <w:t xml:space="preserve"> </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96</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1.43%</w:t>
            </w:r>
          </w:p>
        </w:tc>
        <w:tc>
          <w:tcPr>
            <w:tcW w:w="1113"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3.25</w:t>
            </w:r>
            <w:r>
              <w:rPr>
                <w:rFonts w:hint="default" w:ascii="Times New Roman" w:hAnsi="Times New Roman" w:eastAsia="宋体" w:cs="Times New Roman"/>
                <w:color w:val="auto"/>
                <w:kern w:val="0"/>
                <w:sz w:val="24"/>
                <w:szCs w:val="24"/>
                <w:highlight w:val="none"/>
              </w:rPr>
              <w:t xml:space="preserve"> </w:t>
            </w:r>
          </w:p>
        </w:tc>
        <w:tc>
          <w:tcPr>
            <w:tcW w:w="1206"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0.9</w:t>
            </w:r>
            <w:r>
              <w:rPr>
                <w:rFonts w:hint="default" w:ascii="Times New Roman" w:hAnsi="Times New Roman" w:eastAsia="宋体" w:cs="Times New Roman"/>
                <w:color w:val="auto"/>
                <w:kern w:val="0"/>
                <w:sz w:val="24"/>
                <w:szCs w:val="24"/>
                <w:highlight w:val="none"/>
                <w:lang w:val="en-US" w:eastAsia="zh-CN"/>
              </w:rPr>
              <w:t>45</w:t>
            </w:r>
            <w:r>
              <w:rPr>
                <w:rFonts w:hint="default" w:ascii="Times New Roman" w:hAnsi="Times New Roman" w:eastAsia="宋体" w:cs="Times New Roman"/>
                <w:color w:val="auto"/>
                <w:kern w:val="0"/>
                <w:sz w:val="24"/>
                <w:szCs w:val="24"/>
                <w:highlight w:val="none"/>
              </w:rPr>
              <w:t xml:space="preserve"> </w:t>
            </w:r>
          </w:p>
        </w:tc>
        <w:tc>
          <w:tcPr>
            <w:tcW w:w="854"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31.9</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115.5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114.14</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10.0</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1.45%</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31.9</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114.125/10.5</w:t>
            </w:r>
          </w:p>
        </w:tc>
        <w:tc>
          <w:tcPr>
            <w:tcW w:w="1211"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114.14</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1.47%</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32</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116.875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115.86</w:t>
            </w:r>
            <w:r>
              <w:rPr>
                <w:rFonts w:hint="default" w:ascii="Times New Roman" w:hAnsi="Times New Roman" w:eastAsia="宋体" w:cs="Times New Roman"/>
                <w:color w:val="auto"/>
                <w:kern w:val="0"/>
                <w:sz w:val="24"/>
                <w:szCs w:val="24"/>
                <w:highlight w:val="none"/>
              </w:rPr>
              <w:t xml:space="preserve"> </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11</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50</w:t>
            </w:r>
            <w:r>
              <w:rPr>
                <w:rFonts w:hint="default" w:ascii="Times New Roman" w:hAnsi="Times New Roman" w:eastAsia="宋体" w:cs="Times New Roman"/>
                <w:color w:val="auto"/>
                <w:kern w:val="0"/>
                <w:sz w:val="24"/>
                <w:szCs w:val="24"/>
                <w:highlight w:val="none"/>
              </w:rPr>
              <w:t>%</w:t>
            </w:r>
          </w:p>
        </w:tc>
        <w:tc>
          <w:tcPr>
            <w:tcW w:w="1113"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3.10</w:t>
            </w:r>
            <w:r>
              <w:rPr>
                <w:rFonts w:hint="default" w:ascii="Times New Roman" w:hAnsi="Times New Roman" w:eastAsia="宋体" w:cs="Times New Roman"/>
                <w:color w:val="auto"/>
                <w:kern w:val="0"/>
                <w:sz w:val="24"/>
                <w:szCs w:val="24"/>
                <w:highlight w:val="none"/>
              </w:rPr>
              <w:t xml:space="preserve"> </w:t>
            </w:r>
          </w:p>
        </w:tc>
        <w:tc>
          <w:tcPr>
            <w:tcW w:w="1206"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0.9</w:t>
            </w:r>
            <w:r>
              <w:rPr>
                <w:rFonts w:hint="default" w:ascii="Times New Roman" w:hAnsi="Times New Roman" w:eastAsia="宋体" w:cs="Times New Roman"/>
                <w:color w:val="auto"/>
                <w:kern w:val="0"/>
                <w:sz w:val="24"/>
                <w:szCs w:val="24"/>
                <w:highlight w:val="none"/>
                <w:lang w:val="en-US" w:eastAsia="zh-CN"/>
              </w:rPr>
              <w:t>82</w:t>
            </w:r>
            <w:r>
              <w:rPr>
                <w:rFonts w:hint="default" w:ascii="Times New Roman" w:hAnsi="Times New Roman" w:eastAsia="宋体" w:cs="Times New Roman"/>
                <w:color w:val="auto"/>
                <w:kern w:val="0"/>
                <w:sz w:val="24"/>
                <w:szCs w:val="24"/>
                <w:highlight w:val="none"/>
              </w:rPr>
              <w:t xml:space="preserve"> </w:t>
            </w:r>
          </w:p>
        </w:tc>
        <w:tc>
          <w:tcPr>
            <w:tcW w:w="854"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115.5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115.86</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23</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52</w:t>
            </w:r>
            <w:r>
              <w:rPr>
                <w:rFonts w:hint="default" w:ascii="Times New Roman" w:hAnsi="Times New Roman" w:eastAsia="宋体" w:cs="Times New Roman"/>
                <w:color w:val="auto"/>
                <w:kern w:val="0"/>
                <w:sz w:val="24"/>
                <w:szCs w:val="24"/>
                <w:highlight w:val="none"/>
              </w:rPr>
              <w:t>%</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114.125/10.5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115.86</w:t>
            </w:r>
          </w:p>
        </w:tc>
        <w:tc>
          <w:tcPr>
            <w:tcW w:w="114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36</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54</w:t>
            </w:r>
            <w:r>
              <w:rPr>
                <w:rFonts w:hint="default" w:ascii="Times New Roman" w:hAnsi="Times New Roman" w:eastAsia="宋体" w:cs="Times New Roman"/>
                <w:color w:val="auto"/>
                <w:kern w:val="0"/>
                <w:sz w:val="24"/>
                <w:szCs w:val="24"/>
                <w:highlight w:val="none"/>
              </w:rPr>
              <w:t>%</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p>
            <w:pPr>
              <w:widowControl/>
              <w:spacing w:line="460" w:lineRule="exact"/>
              <w:jc w:val="center"/>
              <w:rPr>
                <w:rFonts w:hint="default" w:ascii="Times New Roman" w:hAnsi="Times New Roman" w:eastAsia="宋体" w:cs="Times New Roman"/>
                <w:color w:val="auto"/>
                <w:kern w:val="0"/>
                <w:sz w:val="24"/>
                <w:szCs w:val="24"/>
                <w:highlight w:val="none"/>
              </w:rPr>
            </w:pPr>
          </w:p>
          <w:p>
            <w:pPr>
              <w:widowControl/>
              <w:spacing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N-1大负荷方式</w:t>
            </w:r>
          </w:p>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32</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116.875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12.1</w:t>
            </w:r>
            <w:r>
              <w:rPr>
                <w:rFonts w:hint="default" w:ascii="Times New Roman" w:hAnsi="Times New Roman" w:eastAsia="宋体" w:cs="Times New Roman"/>
                <w:color w:val="auto"/>
                <w:kern w:val="0"/>
                <w:sz w:val="24"/>
                <w:szCs w:val="24"/>
                <w:highlight w:val="none"/>
              </w:rPr>
              <w:t xml:space="preserve">5 </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79</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rPr>
                <w:rFonts w:hint="default" w:ascii="Times New Roman" w:hAnsi="Times New Roman" w:eastAsia="宋体" w:cs="Times New Roman"/>
                <w:color w:val="auto"/>
                <w:sz w:val="24"/>
                <w:szCs w:val="24"/>
                <w:highlight w:val="none"/>
              </w:rPr>
            </w:pPr>
          </w:p>
        </w:tc>
        <w:tc>
          <w:tcPr>
            <w:tcW w:w="1113"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3.48</w:t>
            </w:r>
          </w:p>
        </w:tc>
        <w:tc>
          <w:tcPr>
            <w:tcW w:w="1206"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w:t>
            </w:r>
            <w:r>
              <w:rPr>
                <w:rFonts w:hint="default" w:ascii="Times New Roman" w:hAnsi="Times New Roman" w:eastAsia="宋体" w:cs="Times New Roman"/>
                <w:color w:val="auto"/>
                <w:kern w:val="0"/>
                <w:sz w:val="24"/>
                <w:szCs w:val="24"/>
                <w:highlight w:val="none"/>
                <w:lang w:val="en-US" w:eastAsia="zh-CN"/>
              </w:rPr>
              <w:t>905</w:t>
            </w:r>
          </w:p>
        </w:tc>
        <w:tc>
          <w:tcPr>
            <w:tcW w:w="854" w:type="dxa"/>
            <w:vMerge w:val="restart"/>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115.5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12.1</w:t>
            </w:r>
            <w:r>
              <w:rPr>
                <w:rFonts w:hint="default" w:ascii="Times New Roman" w:hAnsi="Times New Roman" w:eastAsia="宋体" w:cs="Times New Roman"/>
                <w:color w:val="auto"/>
                <w:kern w:val="0"/>
                <w:sz w:val="24"/>
                <w:szCs w:val="24"/>
                <w:highlight w:val="none"/>
              </w:rPr>
              <w:t xml:space="preserve">5 </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90</w:t>
            </w:r>
          </w:p>
        </w:tc>
        <w:tc>
          <w:tcPr>
            <w:tcW w:w="1073" w:type="dxa"/>
            <w:noWrap w:val="0"/>
            <w:vAlign w:val="center"/>
          </w:tcPr>
          <w:p>
            <w:pPr>
              <w:widowControl/>
              <w:jc w:val="center"/>
              <w:rPr>
                <w:rFonts w:hint="default" w:ascii="Times New Roman" w:hAnsi="Times New Roman" w:eastAsia="宋体" w:cs="Times New Roman"/>
                <w:color w:val="auto"/>
                <w:sz w:val="24"/>
                <w:szCs w:val="24"/>
                <w:highlight w:val="none"/>
              </w:rPr>
            </w:pP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114.125/10.5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12.1</w:t>
            </w:r>
            <w:r>
              <w:rPr>
                <w:rFonts w:hint="default" w:ascii="Times New Roman" w:hAnsi="Times New Roman" w:eastAsia="宋体" w:cs="Times New Roman"/>
                <w:color w:val="auto"/>
                <w:kern w:val="0"/>
                <w:sz w:val="24"/>
                <w:szCs w:val="24"/>
                <w:highlight w:val="none"/>
              </w:rPr>
              <w:t xml:space="preserve">5 </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10.02</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rPr>
                <w:rFonts w:hint="default" w:ascii="Times New Roman" w:hAnsi="Times New Roman" w:eastAsia="宋体" w:cs="Times New Roman"/>
                <w:color w:val="auto"/>
                <w:sz w:val="24"/>
                <w:szCs w:val="24"/>
                <w:highlight w:val="none"/>
              </w:rPr>
            </w:pP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p>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32</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116.875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113.93</w:t>
            </w:r>
            <w:r>
              <w:rPr>
                <w:rFonts w:hint="default" w:ascii="Times New Roman" w:hAnsi="Times New Roman" w:eastAsia="宋体" w:cs="Times New Roman"/>
                <w:color w:val="auto"/>
                <w:kern w:val="0"/>
                <w:sz w:val="24"/>
                <w:szCs w:val="24"/>
                <w:highlight w:val="none"/>
              </w:rPr>
              <w:t xml:space="preserve"> </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94</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55</w:t>
            </w:r>
            <w:r>
              <w:rPr>
                <w:rFonts w:hint="default" w:ascii="Times New Roman" w:hAnsi="Times New Roman" w:eastAsia="宋体" w:cs="Times New Roman"/>
                <w:color w:val="auto"/>
                <w:kern w:val="0"/>
                <w:sz w:val="24"/>
                <w:szCs w:val="24"/>
                <w:highlight w:val="none"/>
              </w:rPr>
              <w:t>%</w:t>
            </w:r>
          </w:p>
        </w:tc>
        <w:tc>
          <w:tcPr>
            <w:tcW w:w="1113"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3.255</w:t>
            </w:r>
          </w:p>
        </w:tc>
        <w:tc>
          <w:tcPr>
            <w:tcW w:w="1206"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0.928 </w:t>
            </w:r>
          </w:p>
        </w:tc>
        <w:tc>
          <w:tcPr>
            <w:tcW w:w="854" w:type="dxa"/>
            <w:vMerge w:val="restart"/>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115.5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113.93</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06</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57</w:t>
            </w:r>
            <w:r>
              <w:rPr>
                <w:rFonts w:hint="default" w:ascii="Times New Roman" w:hAnsi="Times New Roman" w:eastAsia="宋体" w:cs="Times New Roman"/>
                <w:color w:val="auto"/>
                <w:kern w:val="0"/>
                <w:sz w:val="24"/>
                <w:szCs w:val="24"/>
                <w:highlight w:val="none"/>
              </w:rPr>
              <w:t>%</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114.125/10.5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113.93</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18</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rPr>
              <w:t>%</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restart"/>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32</w:t>
            </w: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116.875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15.52</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08</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39</w:t>
            </w:r>
            <w:r>
              <w:rPr>
                <w:rFonts w:hint="default" w:ascii="Times New Roman" w:hAnsi="Times New Roman" w:eastAsia="宋体" w:cs="Times New Roman"/>
                <w:color w:val="auto"/>
                <w:kern w:val="0"/>
                <w:sz w:val="24"/>
                <w:szCs w:val="24"/>
                <w:highlight w:val="none"/>
              </w:rPr>
              <w:t>%</w:t>
            </w:r>
          </w:p>
        </w:tc>
        <w:tc>
          <w:tcPr>
            <w:tcW w:w="1113"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3.10</w:t>
            </w:r>
          </w:p>
        </w:tc>
        <w:tc>
          <w:tcPr>
            <w:tcW w:w="1206" w:type="dxa"/>
            <w:vMerge w:val="restart"/>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0.9</w:t>
            </w:r>
            <w:r>
              <w:rPr>
                <w:rFonts w:hint="default" w:ascii="Times New Roman" w:hAnsi="Times New Roman" w:eastAsia="宋体" w:cs="Times New Roman"/>
                <w:color w:val="auto"/>
                <w:kern w:val="0"/>
                <w:sz w:val="24"/>
                <w:szCs w:val="24"/>
                <w:highlight w:val="none"/>
                <w:lang w:val="en-US" w:eastAsia="zh-CN"/>
              </w:rPr>
              <w:t>45</w:t>
            </w:r>
            <w:r>
              <w:rPr>
                <w:rFonts w:hint="default" w:ascii="Times New Roman" w:hAnsi="Times New Roman" w:eastAsia="宋体" w:cs="Times New Roman"/>
                <w:color w:val="auto"/>
                <w:kern w:val="0"/>
                <w:sz w:val="24"/>
                <w:szCs w:val="24"/>
                <w:highlight w:val="none"/>
              </w:rPr>
              <w:t xml:space="preserve"> </w:t>
            </w:r>
          </w:p>
        </w:tc>
        <w:tc>
          <w:tcPr>
            <w:tcW w:w="854" w:type="dxa"/>
            <w:vMerge w:val="restart"/>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115.5</w:t>
            </w:r>
            <w:r>
              <w:rPr>
                <w:rFonts w:hint="default" w:ascii="Times New Roman" w:hAnsi="Times New Roman" w:eastAsia="宋体" w:cs="Times New Roman"/>
                <w:color w:val="auto"/>
                <w:sz w:val="24"/>
                <w:szCs w:val="24"/>
                <w:highlight w:val="none"/>
              </w:rPr>
              <w:t>/10.5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15.52</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40</w:t>
            </w:r>
            <w:r>
              <w:rPr>
                <w:rFonts w:hint="default" w:ascii="Times New Roman" w:hAnsi="Times New Roman" w:eastAsia="宋体" w:cs="Times New Roman"/>
                <w:color w:val="auto"/>
                <w:kern w:val="0"/>
                <w:sz w:val="24"/>
                <w:szCs w:val="24"/>
                <w:highlight w:val="none"/>
              </w:rPr>
              <w:t>%</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0"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77"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627" w:type="dxa"/>
            <w:noWrap w:val="0"/>
            <w:vAlign w:val="center"/>
          </w:tcPr>
          <w:p>
            <w:pPr>
              <w:autoSpaceDN w:val="0"/>
              <w:spacing w:line="46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114.125/10.5</w:t>
            </w:r>
          </w:p>
        </w:tc>
        <w:tc>
          <w:tcPr>
            <w:tcW w:w="1211"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15.52</w:t>
            </w:r>
          </w:p>
        </w:tc>
        <w:tc>
          <w:tcPr>
            <w:tcW w:w="1143" w:type="dxa"/>
            <w:noWrap w:val="0"/>
            <w:vAlign w:val="center"/>
          </w:tcPr>
          <w:p>
            <w:pPr>
              <w:widowControl/>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10.</w:t>
            </w:r>
            <w:r>
              <w:rPr>
                <w:rFonts w:hint="default" w:ascii="Times New Roman" w:hAnsi="Times New Roman" w:eastAsia="宋体" w:cs="Times New Roman"/>
                <w:color w:val="auto"/>
                <w:kern w:val="0"/>
                <w:sz w:val="24"/>
                <w:szCs w:val="24"/>
                <w:highlight w:val="none"/>
                <w:lang w:val="en-US" w:eastAsia="zh-CN"/>
              </w:rPr>
              <w:t>32</w:t>
            </w:r>
            <w:r>
              <w:rPr>
                <w:rFonts w:hint="default" w:ascii="Times New Roman" w:hAnsi="Times New Roman" w:eastAsia="宋体" w:cs="Times New Roman"/>
                <w:color w:val="auto"/>
                <w:kern w:val="0"/>
                <w:sz w:val="24"/>
                <w:szCs w:val="24"/>
                <w:highlight w:val="none"/>
              </w:rPr>
              <w:t xml:space="preserve"> </w:t>
            </w:r>
          </w:p>
        </w:tc>
        <w:tc>
          <w:tcPr>
            <w:tcW w:w="1073" w:type="dxa"/>
            <w:noWrap w:val="0"/>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42</w:t>
            </w:r>
            <w:r>
              <w:rPr>
                <w:rFonts w:hint="default" w:ascii="Times New Roman" w:hAnsi="Times New Roman" w:eastAsia="宋体" w:cs="Times New Roman"/>
                <w:color w:val="auto"/>
                <w:kern w:val="0"/>
                <w:sz w:val="24"/>
                <w:szCs w:val="24"/>
                <w:highlight w:val="none"/>
              </w:rPr>
              <w:t>%</w:t>
            </w:r>
          </w:p>
        </w:tc>
        <w:tc>
          <w:tcPr>
            <w:tcW w:w="1113"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1206"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c>
          <w:tcPr>
            <w:tcW w:w="854" w:type="dxa"/>
            <w:vMerge w:val="continue"/>
            <w:noWrap w:val="0"/>
            <w:vAlign w:val="center"/>
          </w:tcPr>
          <w:p>
            <w:pPr>
              <w:widowControl/>
              <w:spacing w:line="460" w:lineRule="exact"/>
              <w:jc w:val="center"/>
              <w:rPr>
                <w:rFonts w:hint="default" w:ascii="Times New Roman" w:hAnsi="Times New Roman" w:eastAsia="宋体" w:cs="Times New Roman"/>
                <w:color w:val="auto"/>
                <w:kern w:val="0"/>
                <w:sz w:val="24"/>
                <w:szCs w:val="24"/>
                <w:highlight w:val="none"/>
              </w:rPr>
            </w:pPr>
          </w:p>
        </w:tc>
      </w:tr>
    </w:tbl>
    <w:p>
      <w:pPr>
        <w:widowControl/>
        <w:spacing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2.3.3 计算结果分析</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（1）202</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zh-CN"/>
        </w:rPr>
        <w:t>年</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val="zh-CN"/>
        </w:rPr>
        <w:t>变大负荷时，投入一组</w:t>
      </w:r>
      <w:r>
        <w:rPr>
          <w:rFonts w:hint="default" w:ascii="Times New Roman" w:hAnsi="Times New Roman" w:cs="Times New Roman"/>
          <w:color w:val="auto"/>
          <w:sz w:val="24"/>
          <w:szCs w:val="24"/>
          <w:highlight w:val="none"/>
          <w:lang w:val="en-US" w:eastAsia="zh-CN"/>
        </w:rPr>
        <w:t>3.8</w:t>
      </w:r>
      <w:r>
        <w:rPr>
          <w:rFonts w:hint="default" w:ascii="Times New Roman" w:hAnsi="Times New Roman" w:cs="Times New Roman"/>
          <w:color w:val="auto"/>
          <w:sz w:val="24"/>
          <w:szCs w:val="24"/>
          <w:highlight w:val="none"/>
          <w:lang w:val="zh-CN"/>
        </w:rPr>
        <w:t>Mvar电容器组，即可满足主变高压侧功率因数不低于0.95的要求；</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val="zh-CN"/>
        </w:rPr>
        <w:t>变小负荷时，不投入电容器组，即可满足主变高压侧功率因数不高于0.95、不低于0.92的要求。</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（2）远期</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val="zh-CN"/>
        </w:rPr>
        <w:t>变大负荷</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yellow"/>
          <w:lang w:val="zh-CN"/>
        </w:rPr>
      </w:pPr>
      <w:r>
        <w:rPr>
          <w:rFonts w:hint="default" w:ascii="Times New Roman" w:hAnsi="Times New Roman" w:cs="Times New Roman"/>
          <w:color w:val="auto"/>
          <w:sz w:val="24"/>
          <w:szCs w:val="24"/>
          <w:highlight w:val="none"/>
          <w:lang w:val="zh-CN"/>
        </w:rPr>
        <w:t>a）取主变容量的80%，投入</w:t>
      </w:r>
      <w:r>
        <w:rPr>
          <w:rFonts w:hint="default" w:ascii="Times New Roman" w:hAnsi="Times New Roman" w:cs="Times New Roman"/>
          <w:color w:val="auto"/>
          <w:sz w:val="24"/>
          <w:szCs w:val="24"/>
          <w:highlight w:val="none"/>
          <w:lang w:val="en-US" w:eastAsia="zh-CN"/>
        </w:rPr>
        <w:t>一</w:t>
      </w:r>
      <w:r>
        <w:rPr>
          <w:rFonts w:hint="default" w:ascii="Times New Roman" w:hAnsi="Times New Roman" w:cs="Times New Roman"/>
          <w:color w:val="auto"/>
          <w:sz w:val="24"/>
          <w:szCs w:val="24"/>
          <w:highlight w:val="none"/>
          <w:lang w:val="zh-CN"/>
        </w:rPr>
        <w:t>组</w:t>
      </w:r>
      <w:r>
        <w:rPr>
          <w:rFonts w:hint="default" w:ascii="Times New Roman" w:hAnsi="Times New Roman" w:cs="Times New Roman"/>
          <w:color w:val="auto"/>
          <w:sz w:val="24"/>
          <w:szCs w:val="24"/>
          <w:highlight w:val="none"/>
          <w:lang w:val="en-US" w:eastAsia="zh-CN"/>
        </w:rPr>
        <w:t>3.8</w:t>
      </w:r>
      <w:r>
        <w:rPr>
          <w:rFonts w:hint="default" w:ascii="Times New Roman" w:hAnsi="Times New Roman" w:cs="Times New Roman"/>
          <w:color w:val="auto"/>
          <w:sz w:val="24"/>
          <w:szCs w:val="24"/>
          <w:highlight w:val="none"/>
          <w:lang w:val="zh-CN"/>
        </w:rPr>
        <w:t>Mvar电容器组，可满足主变高压侧功率因数不低于0.95的要求。</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b）取主变满载时，投入</w:t>
      </w:r>
      <w:r>
        <w:rPr>
          <w:rFonts w:hint="default" w:ascii="Times New Roman" w:hAnsi="Times New Roman" w:cs="Times New Roman"/>
          <w:color w:val="auto"/>
          <w:sz w:val="24"/>
          <w:szCs w:val="24"/>
          <w:highlight w:val="none"/>
          <w:lang w:val="en-US" w:eastAsia="zh-CN"/>
        </w:rPr>
        <w:t>一</w:t>
      </w:r>
      <w:r>
        <w:rPr>
          <w:rFonts w:hint="default" w:ascii="Times New Roman" w:hAnsi="Times New Roman" w:cs="Times New Roman"/>
          <w:color w:val="auto"/>
          <w:sz w:val="24"/>
          <w:szCs w:val="24"/>
          <w:highlight w:val="none"/>
          <w:lang w:val="zh-CN"/>
        </w:rPr>
        <w:t>组</w:t>
      </w:r>
      <w:r>
        <w:rPr>
          <w:rFonts w:hint="default" w:ascii="Times New Roman" w:hAnsi="Times New Roman" w:cs="Times New Roman"/>
          <w:color w:val="auto"/>
          <w:sz w:val="24"/>
          <w:szCs w:val="24"/>
          <w:highlight w:val="none"/>
          <w:lang w:val="en-US" w:eastAsia="zh-CN"/>
        </w:rPr>
        <w:t>3.8</w:t>
      </w:r>
      <w:r>
        <w:rPr>
          <w:rFonts w:hint="default" w:ascii="Times New Roman" w:hAnsi="Times New Roman" w:cs="Times New Roman"/>
          <w:color w:val="auto"/>
          <w:sz w:val="24"/>
          <w:szCs w:val="24"/>
          <w:highlight w:val="none"/>
          <w:lang w:val="zh-CN"/>
        </w:rPr>
        <w:t>Mvar电容器组，可满足主变高压侧功率因数不低于0.95的要求。</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c）N-1方式，取主变容量80%，投入一组</w:t>
      </w:r>
      <w:r>
        <w:rPr>
          <w:rFonts w:hint="default" w:ascii="Times New Roman" w:hAnsi="Times New Roman" w:cs="Times New Roman"/>
          <w:color w:val="auto"/>
          <w:sz w:val="24"/>
          <w:szCs w:val="24"/>
          <w:highlight w:val="none"/>
          <w:lang w:val="en-US" w:eastAsia="zh-CN"/>
        </w:rPr>
        <w:t>3.8+4.8</w:t>
      </w:r>
      <w:r>
        <w:rPr>
          <w:rFonts w:hint="default" w:ascii="Times New Roman" w:hAnsi="Times New Roman" w:cs="Times New Roman"/>
          <w:color w:val="auto"/>
          <w:sz w:val="24"/>
          <w:szCs w:val="24"/>
          <w:highlight w:val="none"/>
          <w:lang w:val="zh-CN"/>
        </w:rPr>
        <w:t>Mvar电容器组，可满足主变高压侧功率因数不低于0.95的要求。</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（3）只要系统电压在112～117kV之间，在各种运行方式下，合适调整变压器分接开关位置，10kV电压可满足要求，且每投入一组电容器10kV电压波动范围符合要求。</w:t>
      </w:r>
    </w:p>
    <w:p>
      <w:pPr>
        <w:keepNext w:val="0"/>
        <w:keepLines w:val="0"/>
        <w:pageBreakBefore w:val="0"/>
        <w:widowControl/>
        <w:kinsoku/>
        <w:wordWrap/>
        <w:overflowPunct/>
        <w:topLinePunct w:val="0"/>
        <w:autoSpaceDE/>
        <w:autoSpaceDN/>
        <w:adjustRightInd/>
        <w:snapToGrid/>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2.3.4</w:t>
      </w:r>
      <w:r>
        <w:rPr>
          <w:rFonts w:hint="default" w:ascii="Times New Roman" w:hAnsi="Times New Roman" w:eastAsia="宋体" w:cs="Times New Roman"/>
          <w:color w:val="auto"/>
          <w:sz w:val="24"/>
          <w:szCs w:val="24"/>
          <w:highlight w:val="none"/>
        </w:rPr>
        <w:t xml:space="preserve"> 结论</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（1）110kV</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val="zh-CN"/>
        </w:rPr>
        <w:t>区变主变低压侧无功补偿装置按（</w:t>
      </w:r>
      <w:r>
        <w:rPr>
          <w:rFonts w:hint="default" w:ascii="Times New Roman" w:hAnsi="Times New Roman" w:cs="Times New Roman"/>
          <w:color w:val="auto"/>
          <w:sz w:val="24"/>
          <w:szCs w:val="24"/>
          <w:highlight w:val="none"/>
          <w:lang w:val="en-US" w:eastAsia="zh-CN"/>
        </w:rPr>
        <w:t>3800+</w:t>
      </w:r>
      <w:r>
        <w:rPr>
          <w:rFonts w:hint="default" w:ascii="Times New Roman" w:hAnsi="Times New Roman" w:cs="Times New Roman"/>
          <w:color w:val="auto"/>
          <w:sz w:val="24"/>
          <w:szCs w:val="24"/>
          <w:highlight w:val="none"/>
          <w:lang w:val="zh-CN"/>
        </w:rPr>
        <w:t>4800）kvar并联电容器组进行配置，补偿度为</w:t>
      </w:r>
      <w:r>
        <w:rPr>
          <w:rFonts w:hint="default"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zh-CN"/>
        </w:rPr>
        <w:t>％，可以满足无功调压的需要。</w:t>
      </w:r>
    </w:p>
    <w:p>
      <w:pPr>
        <w:keepNext w:val="0"/>
        <w:keepLines w:val="0"/>
        <w:pageBreakBefore w:val="0"/>
        <w:kinsoku/>
        <w:wordWrap/>
        <w:overflowPunct/>
        <w:topLinePunct w:val="0"/>
        <w:autoSpaceDE/>
        <w:autoSpaceDN/>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zh-CN"/>
        </w:rPr>
        <w:t>（2）主变分接头选择：主变采用110±8×1.25%/10.5kV的分接头，能够适应多种运行方式下的调压需要。</w:t>
      </w:r>
      <w:bookmarkStart w:id="221" w:name="_Toc23097"/>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0" w:firstLineChars="0"/>
        <w:jc w:val="both"/>
        <w:textAlignment w:val="baseline"/>
        <w:outlineLvl w:val="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3</w:t>
      </w:r>
      <w:r>
        <w:rPr>
          <w:rFonts w:hint="default" w:ascii="Times New Roman" w:hAnsi="Times New Roman" w:eastAsia="宋体" w:cs="Times New Roman"/>
          <w:color w:val="auto"/>
          <w:sz w:val="24"/>
          <w:szCs w:val="24"/>
          <w:highlight w:val="none"/>
        </w:rPr>
        <w:t xml:space="preserve"> 电气部分</w:t>
      </w:r>
      <w:bookmarkEnd w:id="221"/>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110kV青山变位于安阳市龙安区马投涧乡鑫康大道与岷山路交叉口西南角。投运于2010年。</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snapToGrid/>
        <w:spacing w:line="460" w:lineRule="exact"/>
        <w:textAlignment w:val="auto"/>
        <w:outlineLvl w:val="1"/>
        <w:rPr>
          <w:rFonts w:hint="default" w:ascii="Times New Roman" w:hAnsi="Times New Roman" w:eastAsia="宋体" w:cs="Times New Roman"/>
          <w:color w:val="auto"/>
          <w:kern w:val="21"/>
          <w:sz w:val="24"/>
          <w:szCs w:val="24"/>
          <w:highlight w:val="none"/>
          <w:lang w:val="en-US" w:eastAsia="zh-CN"/>
        </w:rPr>
      </w:pPr>
      <w:bookmarkStart w:id="222" w:name="_Toc3382"/>
      <w:bookmarkStart w:id="223" w:name="_Toc13296"/>
      <w:r>
        <w:rPr>
          <w:rFonts w:hint="default" w:ascii="Times New Roman" w:hAnsi="Times New Roman" w:eastAsia="宋体" w:cs="Times New Roman"/>
          <w:color w:val="auto"/>
          <w:kern w:val="21"/>
          <w:sz w:val="24"/>
          <w:szCs w:val="24"/>
          <w:highlight w:val="none"/>
          <w:lang w:val="en-US" w:eastAsia="zh-CN"/>
        </w:rPr>
        <w:t xml:space="preserve">3.1  </w:t>
      </w:r>
      <w:r>
        <w:rPr>
          <w:rFonts w:hint="default" w:ascii="Times New Roman" w:hAnsi="Times New Roman" w:cs="Times New Roman"/>
          <w:snapToGrid w:val="0"/>
          <w:color w:val="auto"/>
          <w:kern w:val="21"/>
          <w:sz w:val="24"/>
          <w:szCs w:val="24"/>
          <w:highlight w:val="none"/>
          <w:lang w:val="en-US" w:eastAsia="zh-CN"/>
        </w:rPr>
        <w:t>建设规模</w:t>
      </w:r>
      <w:bookmarkEnd w:id="222"/>
      <w:bookmarkEnd w:id="223"/>
    </w:p>
    <w:p>
      <w:pPr>
        <w:keepNext w:val="0"/>
        <w:keepLines w:val="0"/>
        <w:pageBreakBefore w:val="0"/>
        <w:kinsoku/>
        <w:wordWrap/>
        <w:overflowPunct/>
        <w:topLinePunct w:val="0"/>
        <w:autoSpaceDE/>
        <w:autoSpaceDN/>
        <w:bidi w:val="0"/>
        <w:adjustRightInd/>
        <w:snapToGrid/>
        <w:spacing w:line="460" w:lineRule="exact"/>
        <w:ind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（1）主变规模</w:t>
      </w:r>
    </w:p>
    <w:p>
      <w:pPr>
        <w:keepNext w:val="0"/>
        <w:keepLines w:val="0"/>
        <w:pageBreakBefore w:val="0"/>
        <w:kinsoku/>
        <w:wordWrap/>
        <w:overflowPunct/>
        <w:topLinePunct w:val="0"/>
        <w:autoSpaceDE/>
        <w:autoSpaceDN/>
        <w:bidi w:val="0"/>
        <w:adjustRightInd/>
        <w:snapToGrid/>
        <w:spacing w:line="460" w:lineRule="exact"/>
        <w:ind w:firstLine="56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主变</w:t>
      </w:r>
      <w:r>
        <w:rPr>
          <w:rFonts w:hint="default" w:ascii="Times New Roman" w:hAnsi="Times New Roman" w:eastAsia="宋体" w:cs="Times New Roman"/>
          <w:color w:val="auto"/>
          <w:sz w:val="24"/>
          <w:szCs w:val="24"/>
          <w:highlight w:val="none"/>
          <w:lang w:val="en-US" w:eastAsia="zh-CN"/>
        </w:rPr>
        <w:t>规划</w:t>
      </w:r>
      <w:r>
        <w:rPr>
          <w:rFonts w:hint="default" w:ascii="Times New Roman" w:hAnsi="Times New Roman" w:eastAsia="宋体" w:cs="Times New Roman"/>
          <w:color w:val="auto"/>
          <w:sz w:val="24"/>
          <w:szCs w:val="24"/>
          <w:highlight w:val="none"/>
        </w:rPr>
        <w:t>容量分别为</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1</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变）和</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电压等级110/10kV</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已建</w:t>
      </w:r>
      <w:r>
        <w:rPr>
          <w:rFonts w:hint="default" w:ascii="Times New Roman" w:hAnsi="Times New Roman" w:eastAsia="宋体" w:cs="Times New Roman"/>
          <w:color w:val="auto"/>
          <w:sz w:val="24"/>
          <w:szCs w:val="24"/>
          <w:highlight w:val="none"/>
        </w:rPr>
        <w:t>主变容量分别为</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1</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变）和</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电压等级110/10kV</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本期1#</w:t>
      </w:r>
      <w:r>
        <w:rPr>
          <w:rFonts w:hint="default" w:ascii="Times New Roman" w:hAnsi="Times New Roman" w:eastAsia="宋体" w:cs="Times New Roman"/>
          <w:color w:val="auto"/>
          <w:sz w:val="24"/>
          <w:szCs w:val="24"/>
          <w:highlight w:val="none"/>
        </w:rPr>
        <w:t>主变</w:t>
      </w:r>
      <w:r>
        <w:rPr>
          <w:rFonts w:hint="default" w:ascii="Times New Roman" w:hAnsi="Times New Roman" w:eastAsia="宋体" w:cs="Times New Roman"/>
          <w:color w:val="auto"/>
          <w:sz w:val="24"/>
          <w:szCs w:val="24"/>
          <w:highlight w:val="none"/>
          <w:lang w:val="en-US" w:eastAsia="zh-CN"/>
        </w:rPr>
        <w:t>更换为40</w:t>
      </w:r>
      <w:r>
        <w:rPr>
          <w:rFonts w:hint="default" w:ascii="Times New Roman" w:hAnsi="Times New Roman" w:eastAsia="宋体" w:cs="Times New Roman"/>
          <w:color w:val="auto"/>
          <w:sz w:val="24"/>
          <w:szCs w:val="24"/>
          <w:highlight w:val="none"/>
        </w:rPr>
        <w:t>MVA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电压等级110/10kV</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（2）出线规模</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10kV出线：规划出线2回，已建出线</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回</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kern w:val="21"/>
          <w:sz w:val="24"/>
          <w:szCs w:val="24"/>
          <w:highlight w:val="none"/>
        </w:rPr>
        <w:t>即:</w:t>
      </w:r>
      <w:r>
        <w:rPr>
          <w:rFonts w:hint="default" w:ascii="Times New Roman" w:hAnsi="Times New Roman" w:cs="Times New Roman"/>
          <w:color w:val="auto"/>
          <w:kern w:val="21"/>
          <w:sz w:val="24"/>
          <w:szCs w:val="24"/>
          <w:highlight w:val="none"/>
          <w:lang w:eastAsia="zh-CN"/>
        </w:rPr>
        <w:t>杜</w:t>
      </w:r>
      <w:r>
        <w:rPr>
          <w:rFonts w:hint="default" w:ascii="Times New Roman" w:hAnsi="Times New Roman" w:cs="Times New Roman"/>
          <w:color w:val="auto"/>
          <w:kern w:val="21"/>
          <w:sz w:val="24"/>
          <w:szCs w:val="24"/>
          <w:highlight w:val="none"/>
          <w:lang w:val="en-US" w:eastAsia="zh-CN"/>
        </w:rPr>
        <w:t>青</w:t>
      </w:r>
      <w:r>
        <w:rPr>
          <w:rFonts w:hint="default" w:ascii="Times New Roman" w:hAnsi="Times New Roman" w:cs="Times New Roman"/>
          <w:color w:val="auto"/>
          <w:kern w:val="21"/>
          <w:sz w:val="24"/>
          <w:szCs w:val="24"/>
          <w:highlight w:val="none"/>
        </w:rPr>
        <w:t>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本期无出线。</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10kV出线；规划出线</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0回，已建出线</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回</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本期拆除1#站用变，在此位置新增3#电容器出线柜，更换1#主进柜，更换出线柜2台，更换10kV1#主进母线桥，更换10kV东母南北跨桥。</w:t>
      </w:r>
    </w:p>
    <w:p>
      <w:pPr>
        <w:keepNext w:val="0"/>
        <w:keepLines w:val="0"/>
        <w:pageBreakBefore w:val="0"/>
        <w:kinsoku/>
        <w:wordWrap/>
        <w:overflowPunct/>
        <w:topLinePunct w:val="0"/>
        <w:autoSpaceDE/>
        <w:autoSpaceDN/>
        <w:bidi w:val="0"/>
        <w:adjustRightInd/>
        <w:snapToGrid/>
        <w:spacing w:line="460" w:lineRule="exact"/>
        <w:ind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rPr>
        <w:t>）无功补偿</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eastAsia="宋体" w:cs="Times New Roman"/>
          <w:color w:val="auto"/>
          <w:sz w:val="24"/>
          <w:szCs w:val="24"/>
          <w:highlight w:val="none"/>
          <w:lang w:val="en-US" w:eastAsia="zh-CN"/>
        </w:rPr>
        <w:t>1#变10kV侧装设1组容量为3800kvar的并联电容器组，2#变10kV侧装设1组容量为3000kvar的并联电容器组，本期1#变10kV侧增加1组容量为4800kvar的并联电容器组。</w:t>
      </w:r>
    </w:p>
    <w:p>
      <w:pPr>
        <w:keepNext w:val="0"/>
        <w:keepLines w:val="0"/>
        <w:pageBreakBefore w:val="0"/>
        <w:kinsoku/>
        <w:wordWrap/>
        <w:overflowPunct/>
        <w:topLinePunct w:val="0"/>
        <w:autoSpaceDE/>
        <w:autoSpaceDN/>
        <w:bidi w:val="0"/>
        <w:adjustRightInd/>
        <w:snapToGrid/>
        <w:spacing w:line="460" w:lineRule="exact"/>
        <w:ind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4</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color w:val="auto"/>
          <w:sz w:val="24"/>
          <w:szCs w:val="24"/>
          <w:highlight w:val="none"/>
          <w:lang w:val="en-US" w:eastAsia="zh-CN"/>
        </w:rPr>
        <w:t>站用变</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现有两台站用变，容量均为100kVA，本期拆除1#站变，新增1套容量为400/10.5-100/0.4接地变及消弧线圈成套装置。</w:t>
      </w:r>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详见附图</w:t>
      </w:r>
      <w:r>
        <w:rPr>
          <w:rFonts w:hint="default" w:ascii="Times New Roman" w:hAnsi="Times New Roman" w:cs="Times New Roman"/>
          <w:snapToGrid w:val="0"/>
          <w:color w:val="auto"/>
          <w:kern w:val="21"/>
          <w:sz w:val="24"/>
          <w:szCs w:val="24"/>
          <w:highlight w:val="none"/>
          <w:lang w:val="en-US" w:eastAsia="zh-CN"/>
        </w:rPr>
        <w:t xml:space="preserve"> QSZR-DQ0101-02：青山变电气主接线图（本期</w:t>
      </w:r>
      <w:r>
        <w:rPr>
          <w:rFonts w:hint="default" w:ascii="Times New Roman" w:hAnsi="Times New Roman" w:cs="Times New Roman"/>
          <w:color w:val="auto"/>
          <w:kern w:val="21"/>
          <w:sz w:val="24"/>
          <w:szCs w:val="24"/>
          <w:highlight w:val="none"/>
        </w:rPr>
        <w:t>）</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snapToGrid/>
        <w:spacing w:line="460" w:lineRule="exact"/>
        <w:textAlignment w:val="auto"/>
        <w:outlineLvl w:val="1"/>
        <w:rPr>
          <w:rFonts w:hint="default" w:ascii="Times New Roman" w:hAnsi="Times New Roman" w:eastAsia="宋体" w:cs="Times New Roman"/>
          <w:color w:val="auto"/>
          <w:kern w:val="21"/>
          <w:sz w:val="24"/>
          <w:szCs w:val="24"/>
          <w:highlight w:val="none"/>
          <w:lang w:val="en-US" w:eastAsia="zh-CN"/>
        </w:rPr>
      </w:pPr>
      <w:bookmarkStart w:id="224" w:name="_Toc21094"/>
      <w:r>
        <w:rPr>
          <w:rFonts w:hint="default" w:ascii="Times New Roman" w:hAnsi="Times New Roman" w:eastAsia="宋体" w:cs="Times New Roman"/>
          <w:color w:val="auto"/>
          <w:kern w:val="21"/>
          <w:sz w:val="24"/>
          <w:szCs w:val="24"/>
          <w:highlight w:val="none"/>
          <w:lang w:val="en-US" w:eastAsia="zh-CN"/>
        </w:rPr>
        <w:t>3.2  电气主接线及主要电气设备选择</w:t>
      </w:r>
      <w:bookmarkEnd w:id="224"/>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b w:val="0"/>
          <w:color w:val="auto"/>
          <w:sz w:val="24"/>
          <w:szCs w:val="24"/>
          <w:highlight w:val="none"/>
          <w:lang w:val="en-US" w:eastAsia="zh-CN"/>
        </w:rPr>
        <w:t>电气主接线</w:t>
      </w:r>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110kV规划采用单母线接线，已建单母线接线，户外屋外软母线普通中型布置，本期不改变。</w:t>
      </w:r>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10kV规划采用单母分段接线，已建单母分段接线，户内开关柜双列布置，本期不改变。</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kern w:val="21"/>
          <w:sz w:val="24"/>
          <w:szCs w:val="24"/>
          <w:highlight w:val="none"/>
          <w:lang w:val="en-US" w:eastAsia="zh-CN"/>
        </w:rPr>
        <w:t>短路电流及主要电气设备选择</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3.2.2.1</w:t>
      </w:r>
      <w:r>
        <w:rPr>
          <w:rFonts w:hint="default" w:ascii="Times New Roman" w:hAnsi="Times New Roman" w:eastAsia="宋体" w:cs="Times New Roman"/>
          <w:snapToGrid w:val="0"/>
          <w:color w:val="auto"/>
          <w:kern w:val="21"/>
          <w:sz w:val="24"/>
          <w:szCs w:val="24"/>
          <w:highlight w:val="none"/>
          <w:lang w:eastAsia="zh-CN"/>
        </w:rPr>
        <w:t>短路电流</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60" w:lineRule="exact"/>
        <w:ind w:left="0" w:leftChars="0" w:right="0" w:rightChars="0" w:firstLine="470" w:firstLineChars="196"/>
        <w:textAlignment w:val="auto"/>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eastAsia="宋体" w:cs="Times New Roman"/>
          <w:snapToGrid w:val="0"/>
          <w:color w:val="auto"/>
          <w:kern w:val="21"/>
          <w:sz w:val="24"/>
          <w:szCs w:val="24"/>
          <w:highlight w:val="none"/>
          <w:lang w:eastAsia="zh-CN"/>
        </w:rPr>
        <w:t>短路电流计算</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60" w:lineRule="exact"/>
        <w:ind w:leftChars="196" w:right="0" w:rightChars="0"/>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eastAsia="zh-CN"/>
        </w:rPr>
        <w:t>短路电流计算</w:t>
      </w:r>
      <w:r>
        <w:rPr>
          <w:rFonts w:hint="default" w:ascii="Times New Roman" w:hAnsi="Times New Roman" w:eastAsia="宋体" w:cs="Times New Roman"/>
          <w:snapToGrid w:val="0"/>
          <w:color w:val="auto"/>
          <w:kern w:val="21"/>
          <w:sz w:val="24"/>
          <w:szCs w:val="24"/>
          <w:highlight w:val="none"/>
          <w:lang w:val="en-US" w:eastAsia="zh-CN"/>
        </w:rPr>
        <w:t>条件：</w:t>
      </w:r>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1）计算水平年选择2021年和最终规模。</w:t>
      </w:r>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2）故障方式：三相、单相接地短路故障。</w:t>
      </w:r>
    </w:p>
    <w:p>
      <w:pPr>
        <w:keepNext w:val="0"/>
        <w:keepLines w:val="0"/>
        <w:pageBreakBefore w:val="0"/>
        <w:widowControl/>
        <w:kinsoku/>
        <w:wordWrap/>
        <w:overflowPunct/>
        <w:topLinePunct w:val="0"/>
        <w:autoSpaceDE/>
        <w:autoSpaceDN/>
        <w:bidi w:val="0"/>
        <w:adjustRightInd/>
        <w:snapToGrid/>
        <w:spacing w:line="460" w:lineRule="exact"/>
        <w:ind w:firstLine="56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3）阻抗电压：1#主变12%，2#主变10.64%。</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60" w:lineRule="exact"/>
        <w:ind w:leftChars="196" w:right="0" w:rightChars="0"/>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eastAsia="zh-CN"/>
        </w:rPr>
        <w:t>短路电流计算</w:t>
      </w:r>
      <w:r>
        <w:rPr>
          <w:rFonts w:hint="default" w:ascii="Times New Roman" w:hAnsi="Times New Roman" w:eastAsia="宋体" w:cs="Times New Roman"/>
          <w:snapToGrid w:val="0"/>
          <w:color w:val="auto"/>
          <w:kern w:val="21"/>
          <w:sz w:val="24"/>
          <w:szCs w:val="24"/>
          <w:highlight w:val="none"/>
          <w:lang w:val="en-US" w:eastAsia="zh-CN"/>
        </w:rPr>
        <w:t>结果：</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根据系统资料，本站远期各母线三相短路电流如表3-</w:t>
      </w:r>
      <w:r>
        <w:rPr>
          <w:rFonts w:hint="default" w:ascii="Times New Roman" w:hAnsi="Times New Roman" w:cs="Times New Roman"/>
          <w:color w:val="auto"/>
          <w:kern w:val="21"/>
          <w:sz w:val="24"/>
          <w:szCs w:val="24"/>
          <w:highlight w:val="none"/>
          <w:lang w:val="en-US" w:eastAsia="zh-CN"/>
        </w:rPr>
        <w:t>1</w:t>
      </w:r>
      <w:r>
        <w:rPr>
          <w:rFonts w:hint="default" w:ascii="Times New Roman" w:hAnsi="Times New Roman" w:cs="Times New Roman"/>
          <w:color w:val="auto"/>
          <w:kern w:val="21"/>
          <w:sz w:val="24"/>
          <w:szCs w:val="24"/>
          <w:highlight w:val="none"/>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表3-</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变各电压等级母线短路电流计算结果表</w:t>
      </w:r>
    </w:p>
    <w:p>
      <w:pPr>
        <w:keepNext w:val="0"/>
        <w:keepLines w:val="0"/>
        <w:pageBreakBefore w:val="0"/>
        <w:kinsoku/>
        <w:wordWrap/>
        <w:overflowPunct/>
        <w:topLinePunct w:val="0"/>
        <w:autoSpaceDE/>
        <w:autoSpaceDN/>
        <w:bidi w:val="0"/>
        <w:adjustRightInd/>
        <w:snapToGrid/>
        <w:spacing w:line="460" w:lineRule="exact"/>
        <w:jc w:val="righ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单位：kV、MVA、kA</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101"/>
        <w:gridCol w:w="851"/>
        <w:gridCol w:w="862"/>
        <w:gridCol w:w="844"/>
        <w:gridCol w:w="901"/>
        <w:gridCol w:w="901"/>
        <w:gridCol w:w="901"/>
        <w:gridCol w:w="901"/>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1" w:type="dxa"/>
            <w:gridSpan w:val="2"/>
            <w:vMerge w:val="restart"/>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母线名称</w:t>
            </w:r>
          </w:p>
        </w:tc>
        <w:tc>
          <w:tcPr>
            <w:tcW w:w="3458" w:type="dxa"/>
            <w:gridSpan w:val="4"/>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年</w:t>
            </w:r>
          </w:p>
        </w:tc>
        <w:tc>
          <w:tcPr>
            <w:tcW w:w="3605" w:type="dxa"/>
            <w:gridSpan w:val="4"/>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最终规模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1" w:type="dxa"/>
            <w:gridSpan w:val="2"/>
            <w:vMerge w:val="continue"/>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1713" w:type="dxa"/>
            <w:gridSpan w:val="2"/>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三相短路</w:t>
            </w:r>
          </w:p>
        </w:tc>
        <w:tc>
          <w:tcPr>
            <w:tcW w:w="1745" w:type="dxa"/>
            <w:gridSpan w:val="2"/>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单相短路</w:t>
            </w:r>
          </w:p>
        </w:tc>
        <w:tc>
          <w:tcPr>
            <w:tcW w:w="1802" w:type="dxa"/>
            <w:gridSpan w:val="2"/>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三相短路</w:t>
            </w:r>
          </w:p>
        </w:tc>
        <w:tc>
          <w:tcPr>
            <w:tcW w:w="1803" w:type="dxa"/>
            <w:gridSpan w:val="2"/>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单相短路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1" w:type="dxa"/>
            <w:gridSpan w:val="2"/>
            <w:vMerge w:val="continue"/>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85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862"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c>
          <w:tcPr>
            <w:tcW w:w="844"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901"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c>
          <w:tcPr>
            <w:tcW w:w="901"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901"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c>
          <w:tcPr>
            <w:tcW w:w="901"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短路容量</w:t>
            </w:r>
          </w:p>
        </w:tc>
        <w:tc>
          <w:tcPr>
            <w:tcW w:w="902" w:type="dxa"/>
            <w:tcBorders>
              <w:tl2br w:val="nil"/>
              <w:tr2bl w:val="nil"/>
            </w:tcBorders>
            <w:noWrap w:val="0"/>
            <w:vAlign w:val="center"/>
          </w:tcPr>
          <w:p>
            <w:pPr>
              <w:adjustRightInd w:val="0"/>
              <w:snapToGrid w:val="0"/>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青山变</w:t>
            </w:r>
            <w:r>
              <w:rPr>
                <w:rFonts w:hint="default" w:ascii="Times New Roman" w:hAnsi="Times New Roman" w:cs="Times New Roman"/>
                <w:color w:val="auto"/>
                <w:sz w:val="24"/>
                <w:szCs w:val="24"/>
                <w:highlight w:val="none"/>
              </w:rPr>
              <w:t>110</w:t>
            </w:r>
          </w:p>
        </w:tc>
        <w:tc>
          <w:tcPr>
            <w:tcW w:w="1101" w:type="dxa"/>
            <w:tcBorders>
              <w:tl2br w:val="nil"/>
              <w:tr2bl w:val="nil"/>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杜家庵</w:t>
            </w:r>
            <w:r>
              <w:rPr>
                <w:rFonts w:hint="default" w:ascii="Times New Roman" w:hAnsi="Times New Roman" w:cs="Times New Roman"/>
                <w:color w:val="auto"/>
                <w:sz w:val="24"/>
                <w:szCs w:val="24"/>
                <w:highlight w:val="none"/>
              </w:rPr>
              <w:t>供</w:t>
            </w:r>
          </w:p>
        </w:tc>
        <w:tc>
          <w:tcPr>
            <w:tcW w:w="85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2091</w:t>
            </w:r>
          </w:p>
        </w:tc>
        <w:tc>
          <w:tcPr>
            <w:tcW w:w="86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10.50</w:t>
            </w:r>
          </w:p>
        </w:tc>
        <w:tc>
          <w:tcPr>
            <w:tcW w:w="844"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1627</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8.17</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2653</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13.32</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2051</w:t>
            </w:r>
          </w:p>
        </w:tc>
        <w:tc>
          <w:tcPr>
            <w:tcW w:w="90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10kV并列</w:t>
            </w:r>
          </w:p>
        </w:tc>
        <w:tc>
          <w:tcPr>
            <w:tcW w:w="11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p>
        </w:tc>
        <w:tc>
          <w:tcPr>
            <w:tcW w:w="85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417</w:t>
            </w:r>
          </w:p>
        </w:tc>
        <w:tc>
          <w:tcPr>
            <w:tcW w:w="86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22.94</w:t>
            </w:r>
          </w:p>
        </w:tc>
        <w:tc>
          <w:tcPr>
            <w:tcW w:w="844"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435</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10kV分列（1#主变40MVA,阻抗12%）</w:t>
            </w:r>
          </w:p>
        </w:tc>
        <w:tc>
          <w:tcPr>
            <w:tcW w:w="11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85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288</w:t>
            </w:r>
          </w:p>
        </w:tc>
        <w:tc>
          <w:tcPr>
            <w:tcW w:w="86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15.81</w:t>
            </w:r>
          </w:p>
        </w:tc>
        <w:tc>
          <w:tcPr>
            <w:tcW w:w="844"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296</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16.29</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10kV分列（2#主变20MVA，阻抗10.64%）</w:t>
            </w:r>
          </w:p>
        </w:tc>
        <w:tc>
          <w:tcPr>
            <w:tcW w:w="11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85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173</w:t>
            </w:r>
          </w:p>
        </w:tc>
        <w:tc>
          <w:tcPr>
            <w:tcW w:w="86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9.49</w:t>
            </w:r>
          </w:p>
        </w:tc>
        <w:tc>
          <w:tcPr>
            <w:tcW w:w="844"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175</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9.65</w:t>
            </w:r>
          </w:p>
        </w:tc>
        <w:tc>
          <w:tcPr>
            <w:tcW w:w="901"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c>
          <w:tcPr>
            <w:tcW w:w="902" w:type="dxa"/>
            <w:tcBorders>
              <w:tl2br w:val="nil"/>
              <w:tr2bl w:val="nil"/>
            </w:tcBorders>
            <w:noWrap w:val="0"/>
            <w:vAlign w:val="center"/>
          </w:tcPr>
          <w:p>
            <w:pPr>
              <w:spacing w:before="100" w:beforeLines="0" w:beforeAutospacing="1" w:after="100" w:afterLines="0" w:afterAutospacing="1"/>
              <w:jc w:val="center"/>
              <w:rPr>
                <w:rFonts w:hint="default" w:ascii="Times New Roman" w:hAnsi="Times New Roman" w:cs="Times New Roman"/>
                <w:color w:val="auto"/>
                <w:sz w:val="24"/>
                <w:szCs w:val="24"/>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60" w:lineRule="exact"/>
        <w:ind w:leftChars="196" w:right="0" w:rightChars="0"/>
        <w:jc w:val="both"/>
        <w:textAlignment w:val="auto"/>
        <w:outlineLvl w:val="9"/>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eastAsia="zh-CN"/>
        </w:rPr>
        <w:t>（</w:t>
      </w: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eastAsia="zh-CN"/>
        </w:rPr>
        <w:t>）</w:t>
      </w:r>
      <w:r>
        <w:rPr>
          <w:rFonts w:hint="default" w:ascii="Times New Roman" w:hAnsi="Times New Roman" w:eastAsia="宋体" w:cs="Times New Roman"/>
          <w:snapToGrid w:val="0"/>
          <w:color w:val="auto"/>
          <w:kern w:val="21"/>
          <w:sz w:val="24"/>
          <w:szCs w:val="24"/>
          <w:highlight w:val="none"/>
          <w:lang w:val="en-US" w:eastAsia="zh-CN"/>
        </w:rPr>
        <w:t>选择依据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a.环境条件</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站址环境条件详见表3-2</w:t>
      </w:r>
    </w:p>
    <w:p>
      <w:pPr>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表3-</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 xml:space="preserve">    环境条件</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51"/>
        <w:gridCol w:w="2947"/>
        <w:gridCol w:w="1146"/>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756" w:type="dxa"/>
            <w:tcBorders>
              <w:bottom w:val="single" w:color="auto" w:sz="4" w:space="0"/>
            </w:tcBorders>
            <w:noWrap w:val="0"/>
            <w:vAlign w:val="center"/>
          </w:tcPr>
          <w:p>
            <w:pPr>
              <w:topLinePunct/>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序号</w:t>
            </w:r>
          </w:p>
        </w:tc>
        <w:tc>
          <w:tcPr>
            <w:tcW w:w="5798" w:type="dxa"/>
            <w:gridSpan w:val="2"/>
            <w:tcBorders>
              <w:bottom w:val="single" w:color="auto" w:sz="4" w:space="0"/>
            </w:tcBorders>
            <w:noWrap w:val="0"/>
            <w:vAlign w:val="center"/>
          </w:tcPr>
          <w:p>
            <w:pPr>
              <w:topLinePunct/>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项目名称</w:t>
            </w:r>
          </w:p>
        </w:tc>
        <w:tc>
          <w:tcPr>
            <w:tcW w:w="1146" w:type="dxa"/>
            <w:tcBorders>
              <w:bottom w:val="single" w:color="auto" w:sz="4" w:space="0"/>
            </w:tcBorders>
            <w:noWrap w:val="0"/>
            <w:vAlign w:val="center"/>
          </w:tcPr>
          <w:p>
            <w:pPr>
              <w:topLinePunct/>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单位</w:t>
            </w:r>
          </w:p>
        </w:tc>
        <w:tc>
          <w:tcPr>
            <w:tcW w:w="1115" w:type="dxa"/>
            <w:tcBorders>
              <w:bottom w:val="single" w:color="auto" w:sz="4" w:space="0"/>
            </w:tcBorders>
            <w:noWrap w:val="0"/>
            <w:vAlign w:val="center"/>
          </w:tcPr>
          <w:p>
            <w:pPr>
              <w:topLinePunct/>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w:t>
            </w:r>
          </w:p>
        </w:tc>
        <w:tc>
          <w:tcPr>
            <w:tcW w:w="5798" w:type="dxa"/>
            <w:gridSpan w:val="2"/>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污秽等级</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eastAsia="宋体" w:cs="Times New Roman"/>
                <w:snapToGrid w:val="0"/>
                <w:color w:val="auto"/>
                <w:kern w:val="21"/>
                <w:sz w:val="24"/>
                <w:szCs w:val="24"/>
                <w:highlight w:val="none"/>
                <w:lang w:val="en-US" w:eastAsia="zh-CN"/>
              </w:rPr>
              <w: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2</w:t>
            </w:r>
          </w:p>
        </w:tc>
        <w:tc>
          <w:tcPr>
            <w:tcW w:w="2851"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环境温度</w:t>
            </w:r>
          </w:p>
        </w:tc>
        <w:tc>
          <w:tcPr>
            <w:tcW w:w="2947"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最高日温度</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w:t>
            </w: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2851"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2947"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最低日温度</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－2</w:t>
            </w:r>
            <w:r>
              <w:rPr>
                <w:rFonts w:hint="default" w:ascii="Times New Roman" w:hAnsi="Times New Roman" w:eastAsia="宋体" w:cs="Times New Roman"/>
                <w:snapToGrid w:val="0"/>
                <w:color w:val="auto"/>
                <w:kern w:val="21"/>
                <w:sz w:val="24"/>
                <w:szCs w:val="24"/>
                <w:highlight w:val="none"/>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2851"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2947"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最大日温差</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K</w:t>
            </w: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p>
        </w:tc>
        <w:tc>
          <w:tcPr>
            <w:tcW w:w="2851"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月平均最高相对湿度，</w:t>
            </w:r>
            <w:r>
              <w:rPr>
                <w:rFonts w:hint="default" w:ascii="Times New Roman" w:hAnsi="Times New Roman" w:eastAsia="宋体" w:cs="Times New Roman"/>
                <w:snapToGrid w:val="0"/>
                <w:color w:val="auto"/>
                <w:kern w:val="21"/>
                <w:sz w:val="24"/>
                <w:szCs w:val="24"/>
                <w:highlight w:val="none"/>
              </w:rPr>
              <w:br w:type="textWrapping"/>
            </w:r>
            <w:r>
              <w:rPr>
                <w:rFonts w:hint="default" w:ascii="Times New Roman" w:hAnsi="Times New Roman" w:eastAsia="宋体" w:cs="Times New Roman"/>
                <w:snapToGrid w:val="0"/>
                <w:color w:val="auto"/>
                <w:kern w:val="21"/>
                <w:sz w:val="24"/>
                <w:szCs w:val="24"/>
                <w:highlight w:val="none"/>
              </w:rPr>
              <w:t>20℃下（％）</w:t>
            </w:r>
          </w:p>
        </w:tc>
        <w:tc>
          <w:tcPr>
            <w:tcW w:w="2947"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日相对湿度平均值</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w:t>
            </w: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2851"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2947"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月相对湿度平均值</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4</w:t>
            </w:r>
          </w:p>
        </w:tc>
        <w:tc>
          <w:tcPr>
            <w:tcW w:w="5798" w:type="dxa"/>
            <w:gridSpan w:val="2"/>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海拔高度</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m</w:t>
            </w: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5</w:t>
            </w:r>
          </w:p>
        </w:tc>
        <w:tc>
          <w:tcPr>
            <w:tcW w:w="5798" w:type="dxa"/>
            <w:gridSpan w:val="2"/>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太阳辐射强度</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W∕cm</w:t>
            </w:r>
            <w:r>
              <w:rPr>
                <w:rFonts w:hint="default" w:ascii="Times New Roman" w:hAnsi="Times New Roman" w:eastAsia="宋体" w:cs="Times New Roman"/>
                <w:snapToGrid w:val="0"/>
                <w:color w:val="auto"/>
                <w:kern w:val="21"/>
                <w:sz w:val="24"/>
                <w:szCs w:val="24"/>
                <w:highlight w:val="none"/>
                <w:vertAlign w:val="superscript"/>
              </w:rPr>
              <w:t>2</w:t>
            </w: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5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6</w:t>
            </w:r>
          </w:p>
        </w:tc>
        <w:tc>
          <w:tcPr>
            <w:tcW w:w="5798" w:type="dxa"/>
            <w:gridSpan w:val="2"/>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最大覆冰厚度</w:t>
            </w:r>
          </w:p>
        </w:tc>
        <w:tc>
          <w:tcPr>
            <w:tcW w:w="1146"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mm</w:t>
            </w:r>
          </w:p>
        </w:tc>
        <w:tc>
          <w:tcPr>
            <w:tcW w:w="1115" w:type="dxa"/>
            <w:tcBorders>
              <w:top w:val="single" w:color="auto" w:sz="4" w:space="0"/>
              <w:bottom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tcBorders>
              <w:top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7</w:t>
            </w:r>
          </w:p>
        </w:tc>
        <w:tc>
          <w:tcPr>
            <w:tcW w:w="5798" w:type="dxa"/>
            <w:gridSpan w:val="2"/>
            <w:tcBorders>
              <w:top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离地面高10m处，维持10min的平均最大风速（m/s）</w:t>
            </w:r>
          </w:p>
        </w:tc>
        <w:tc>
          <w:tcPr>
            <w:tcW w:w="1146" w:type="dxa"/>
            <w:tcBorders>
              <w:top w:val="single" w:color="auto" w:sz="4" w:space="0"/>
            </w:tcBorders>
            <w:noWrap w:val="0"/>
            <w:vAlign w:val="center"/>
          </w:tcPr>
          <w:p>
            <w:pPr>
              <w:topLinePun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m/s</w:t>
            </w:r>
          </w:p>
        </w:tc>
        <w:tc>
          <w:tcPr>
            <w:tcW w:w="1115" w:type="dxa"/>
            <w:tcBorders>
              <w:top w:val="single" w:color="auto" w:sz="4" w:space="0"/>
            </w:tcBorders>
            <w:noWrap w:val="0"/>
            <w:vAlign w:val="center"/>
          </w:tcPr>
          <w:p>
            <w:pPr>
              <w:topLinePunct/>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27</w:t>
            </w: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b.短路电流水平条件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rPr>
        <w:t>11</w:t>
      </w:r>
      <w:r>
        <w:rPr>
          <w:rFonts w:hint="default" w:ascii="Times New Roman" w:hAnsi="Times New Roman" w:eastAsia="宋体" w:cs="Times New Roman"/>
          <w:snapToGrid w:val="0"/>
          <w:color w:val="auto"/>
          <w:kern w:val="21"/>
          <w:sz w:val="24"/>
          <w:szCs w:val="24"/>
          <w:highlight w:val="none"/>
          <w:lang w:val="zh-CN"/>
        </w:rPr>
        <w:t>0kV</w:t>
      </w:r>
      <w:r>
        <w:rPr>
          <w:rFonts w:hint="default" w:ascii="Times New Roman" w:hAnsi="Times New Roman" w:eastAsia="宋体" w:cs="Times New Roman"/>
          <w:snapToGrid w:val="0"/>
          <w:color w:val="auto"/>
          <w:kern w:val="21"/>
          <w:sz w:val="24"/>
          <w:szCs w:val="24"/>
          <w:highlight w:val="none"/>
          <w:lang w:val="en-US" w:eastAsia="zh-CN"/>
        </w:rPr>
        <w:t>更换</w:t>
      </w:r>
      <w:r>
        <w:rPr>
          <w:rFonts w:hint="default" w:ascii="Times New Roman" w:hAnsi="Times New Roman" w:eastAsia="宋体" w:cs="Times New Roman"/>
          <w:snapToGrid w:val="0"/>
          <w:color w:val="auto"/>
          <w:kern w:val="21"/>
          <w:sz w:val="24"/>
          <w:szCs w:val="24"/>
          <w:highlight w:val="none"/>
          <w:lang w:val="zh-CN"/>
        </w:rPr>
        <w:t>设备按</w:t>
      </w:r>
      <w:r>
        <w:rPr>
          <w:rFonts w:hint="default" w:ascii="Times New Roman" w:hAnsi="Times New Roman" w:eastAsia="宋体" w:cs="Times New Roman"/>
          <w:snapToGrid w:val="0"/>
          <w:color w:val="auto"/>
          <w:kern w:val="21"/>
          <w:sz w:val="24"/>
          <w:szCs w:val="24"/>
          <w:highlight w:val="none"/>
        </w:rPr>
        <w:t>4</w:t>
      </w:r>
      <w:r>
        <w:rPr>
          <w:rFonts w:hint="default" w:ascii="Times New Roman" w:hAnsi="Times New Roman" w:eastAsia="宋体" w:cs="Times New Roman"/>
          <w:snapToGrid w:val="0"/>
          <w:color w:val="auto"/>
          <w:kern w:val="21"/>
          <w:sz w:val="24"/>
          <w:szCs w:val="24"/>
          <w:highlight w:val="none"/>
          <w:lang w:val="zh-CN"/>
        </w:rPr>
        <w:t>0kA短路电流水平选择；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10kV</w:t>
      </w:r>
      <w:r>
        <w:rPr>
          <w:rFonts w:hint="default" w:ascii="Times New Roman" w:hAnsi="Times New Roman" w:eastAsia="宋体" w:cs="Times New Roman"/>
          <w:snapToGrid w:val="0"/>
          <w:color w:val="auto"/>
          <w:kern w:val="21"/>
          <w:sz w:val="24"/>
          <w:szCs w:val="24"/>
          <w:highlight w:val="none"/>
          <w:lang w:val="en-US" w:eastAsia="zh-CN"/>
        </w:rPr>
        <w:t>更换</w:t>
      </w:r>
      <w:r>
        <w:rPr>
          <w:rFonts w:hint="default" w:ascii="Times New Roman" w:hAnsi="Times New Roman" w:eastAsia="宋体" w:cs="Times New Roman"/>
          <w:snapToGrid w:val="0"/>
          <w:color w:val="auto"/>
          <w:kern w:val="21"/>
          <w:sz w:val="24"/>
          <w:szCs w:val="24"/>
          <w:highlight w:val="none"/>
          <w:lang w:val="zh-CN"/>
        </w:rPr>
        <w:t>设备主进按40kA、其它按31.5kA短路电流水平选择。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en-US" w:eastAsia="zh-CN"/>
        </w:rPr>
        <w:t>c</w:t>
      </w:r>
      <w:r>
        <w:rPr>
          <w:rFonts w:hint="default" w:ascii="Times New Roman" w:hAnsi="Times New Roman" w:eastAsia="宋体" w:cs="Times New Roman"/>
          <w:snapToGrid w:val="0"/>
          <w:color w:val="auto"/>
          <w:kern w:val="21"/>
          <w:sz w:val="24"/>
          <w:szCs w:val="24"/>
          <w:highlight w:val="none"/>
          <w:lang w:val="zh-CN"/>
        </w:rPr>
        <w:t>.设备外绝缘爬电距离要求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color w:val="auto"/>
          <w:kern w:val="0"/>
          <w:sz w:val="24"/>
          <w:szCs w:val="24"/>
          <w:highlight w:val="none"/>
          <w:lang w:eastAsia="zh-CN"/>
        </w:rPr>
        <w:t>根据《河南电网外绝缘污秽区域分布图</w:t>
      </w:r>
      <w:r>
        <w:rPr>
          <w:rFonts w:hint="default" w:ascii="Times New Roman" w:hAnsi="Times New Roman" w:eastAsia="宋体" w:cs="Times New Roman"/>
          <w:color w:val="auto"/>
          <w:kern w:val="0"/>
          <w:sz w:val="24"/>
          <w:szCs w:val="24"/>
          <w:highlight w:val="none"/>
          <w:lang w:val="en-US" w:eastAsia="zh-CN"/>
        </w:rPr>
        <w:t>2020版</w:t>
      </w:r>
      <w:r>
        <w:rPr>
          <w:rFonts w:hint="default" w:ascii="Times New Roman" w:hAnsi="Times New Roman" w:eastAsia="宋体" w:cs="Times New Roman"/>
          <w:color w:val="auto"/>
          <w:kern w:val="0"/>
          <w:sz w:val="24"/>
          <w:szCs w:val="24"/>
          <w:highlight w:val="none"/>
          <w:lang w:eastAsia="zh-CN"/>
        </w:rPr>
        <w:t>》显示，本站地处于e级污秽区。本期工程</w:t>
      </w:r>
      <w:r>
        <w:rPr>
          <w:rFonts w:hint="default" w:ascii="Times New Roman" w:hAnsi="Times New Roman" w:eastAsia="宋体" w:cs="Times New Roman"/>
          <w:snapToGrid w:val="0"/>
          <w:color w:val="auto"/>
          <w:kern w:val="21"/>
          <w:sz w:val="24"/>
          <w:szCs w:val="24"/>
          <w:highlight w:val="none"/>
          <w:lang w:val="zh-CN"/>
        </w:rPr>
        <w:t>户外电气设备外绝缘统一爬电比距应≥</w:t>
      </w:r>
      <w:r>
        <w:rPr>
          <w:rFonts w:hint="default" w:ascii="Times New Roman" w:hAnsi="Times New Roman" w:eastAsia="宋体" w:cs="Times New Roman"/>
          <w:snapToGrid w:val="0"/>
          <w:color w:val="auto"/>
          <w:kern w:val="21"/>
          <w:sz w:val="24"/>
          <w:szCs w:val="24"/>
          <w:highlight w:val="none"/>
        </w:rPr>
        <w:t>53.7</w:t>
      </w:r>
      <w:r>
        <w:rPr>
          <w:rFonts w:hint="default" w:ascii="Times New Roman" w:hAnsi="Times New Roman" w:eastAsia="宋体" w:cs="Times New Roman"/>
          <w:snapToGrid w:val="0"/>
          <w:color w:val="auto"/>
          <w:kern w:val="21"/>
          <w:sz w:val="24"/>
          <w:szCs w:val="24"/>
          <w:highlight w:val="none"/>
          <w:lang w:val="zh-CN"/>
        </w:rPr>
        <w:t>mm/kV，户内电气设备外绝缘统一爬电比距应≥</w:t>
      </w:r>
      <w:r>
        <w:rPr>
          <w:rFonts w:hint="default" w:ascii="Times New Roman" w:hAnsi="Times New Roman" w:eastAsia="宋体" w:cs="Times New Roman"/>
          <w:snapToGrid w:val="0"/>
          <w:color w:val="auto"/>
          <w:kern w:val="21"/>
          <w:sz w:val="24"/>
          <w:szCs w:val="24"/>
          <w:highlight w:val="none"/>
        </w:rPr>
        <w:t>43.3</w:t>
      </w:r>
      <w:r>
        <w:rPr>
          <w:rFonts w:hint="default" w:ascii="Times New Roman" w:hAnsi="Times New Roman" w:eastAsia="宋体" w:cs="Times New Roman"/>
          <w:snapToGrid w:val="0"/>
          <w:color w:val="auto"/>
          <w:kern w:val="21"/>
          <w:sz w:val="24"/>
          <w:szCs w:val="24"/>
          <w:highlight w:val="none"/>
          <w:lang w:val="zh-CN"/>
        </w:rPr>
        <w:t>mm/kV。</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p>
    <w:p>
      <w:pPr>
        <w:ind w:firstLine="480" w:firstLineChars="20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rPr>
        <w:drawing>
          <wp:anchor distT="0" distB="0" distL="114300" distR="114300" simplePos="0" relativeHeight="251660288" behindDoc="1" locked="0" layoutInCell="1" allowOverlap="1">
            <wp:simplePos x="0" y="0"/>
            <wp:positionH relativeFrom="column">
              <wp:posOffset>4606925</wp:posOffset>
            </wp:positionH>
            <wp:positionV relativeFrom="page">
              <wp:posOffset>2718435</wp:posOffset>
            </wp:positionV>
            <wp:extent cx="948055" cy="937895"/>
            <wp:effectExtent l="0" t="0" r="4445" b="14605"/>
            <wp:wrapTight wrapText="bothSides">
              <wp:wrapPolygon>
                <wp:start x="21592" y="-2"/>
                <wp:lineTo x="0" y="0"/>
                <wp:lineTo x="0" y="21599"/>
                <wp:lineTo x="21592" y="21601"/>
                <wp:lineTo x="8" y="21601"/>
                <wp:lineTo x="21600" y="21599"/>
                <wp:lineTo x="21600" y="0"/>
                <wp:lineTo x="8" y="-2"/>
                <wp:lineTo x="21592" y="-2"/>
              </wp:wrapPolygon>
            </wp:wrapTight>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948055" cy="937895"/>
                    </a:xfrm>
                    <a:prstGeom prst="rect">
                      <a:avLst/>
                    </a:prstGeom>
                    <a:noFill/>
                    <a:ln>
                      <a:noFill/>
                    </a:ln>
                  </pic:spPr>
                </pic:pic>
              </a:graphicData>
            </a:graphic>
          </wp:anchor>
        </w:drawing>
      </w:r>
      <w:r>
        <w:rPr>
          <w:rFonts w:hint="default" w:ascii="Times New Roman" w:hAnsi="Times New Roman" w:eastAsia="宋体" w:cs="Times New Roman"/>
          <w:color w:val="auto"/>
          <w:sz w:val="24"/>
          <w:szCs w:val="24"/>
          <w:highlight w:val="none"/>
        </w:rPr>
        <w:drawing>
          <wp:anchor distT="0" distB="0" distL="114300" distR="114300" simplePos="0" relativeHeight="251659264" behindDoc="0" locked="0" layoutInCell="1" allowOverlap="1">
            <wp:simplePos x="0" y="0"/>
            <wp:positionH relativeFrom="column">
              <wp:posOffset>385445</wp:posOffset>
            </wp:positionH>
            <wp:positionV relativeFrom="paragraph">
              <wp:posOffset>195580</wp:posOffset>
            </wp:positionV>
            <wp:extent cx="4076700" cy="2618105"/>
            <wp:effectExtent l="0" t="0" r="0" b="10795"/>
            <wp:wrapTopAndBottom/>
            <wp:docPr id="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56"/>
                    <pic:cNvPicPr>
                      <a:picLocks noChangeAspect="1"/>
                    </pic:cNvPicPr>
                  </pic:nvPicPr>
                  <pic:blipFill>
                    <a:blip r:embed="rId12"/>
                    <a:srcRect t="5968" b="10435"/>
                    <a:stretch>
                      <a:fillRect/>
                    </a:stretch>
                  </pic:blipFill>
                  <pic:spPr>
                    <a:xfrm>
                      <a:off x="0" y="0"/>
                      <a:ext cx="4076700" cy="2618105"/>
                    </a:xfrm>
                    <a:prstGeom prst="rect">
                      <a:avLst/>
                    </a:prstGeom>
                    <a:noFill/>
                    <a:ln>
                      <a:noFill/>
                    </a:ln>
                  </pic:spPr>
                </pic:pic>
              </a:graphicData>
            </a:graphic>
          </wp:anchor>
        </w:drawing>
      </w:r>
      <w:r>
        <w:rPr>
          <w:rFonts w:hint="default" w:ascii="Times New Roman" w:hAnsi="Times New Roman" w:eastAsia="宋体" w:cs="Times New Roman"/>
          <w:snapToGrid w:val="0"/>
          <w:color w:val="auto"/>
          <w:kern w:val="21"/>
          <w:sz w:val="24"/>
          <w:szCs w:val="24"/>
          <w:highlight w:val="none"/>
          <w:lang w:val="en-US" w:eastAsia="zh-CN"/>
        </w:rPr>
        <w:t>图3-1 安阳地区污秽等级图</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lang w:val="zh-CN"/>
        </w:rPr>
        <w:t>d.</w:t>
      </w:r>
      <w:r>
        <w:rPr>
          <w:rFonts w:hint="default" w:ascii="Times New Roman" w:hAnsi="Times New Roman" w:eastAsia="宋体" w:cs="Times New Roman"/>
          <w:snapToGrid w:val="0"/>
          <w:color w:val="auto"/>
          <w:kern w:val="21"/>
          <w:sz w:val="24"/>
          <w:szCs w:val="24"/>
          <w:highlight w:val="none"/>
        </w:rPr>
        <w:t>设备抗震要求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本站区域地震基本烈度8度，地震水平加速度值为0.2g。所用设备均按满足8度的耐震要求选择。</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3.2.2.2主要电气设备选择</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jc w:val="left"/>
        <w:textAlignment w:val="auto"/>
        <w:outlineLvl w:val="9"/>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lang w:val="en-US" w:eastAsia="zh-CN"/>
        </w:rPr>
        <w:t>1</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rPr>
        <w:t>现状：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val="zh-CN"/>
        </w:rPr>
        <w:t>主变压器：</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val="en-US" w:eastAsia="zh-CN"/>
        </w:rPr>
        <w:t xml:space="preserve">    </w:t>
      </w:r>
      <w:r>
        <w:rPr>
          <w:rFonts w:hint="default" w:ascii="Times New Roman" w:hAnsi="Times New Roman" w:cs="Times New Roman"/>
          <w:snapToGrid w:val="0"/>
          <w:color w:val="auto"/>
          <w:kern w:val="21"/>
          <w:sz w:val="24"/>
          <w:szCs w:val="24"/>
          <w:highlight w:val="none"/>
        </w:rPr>
        <w:t>1#主变压器采用</w:t>
      </w:r>
      <w:r>
        <w:rPr>
          <w:rFonts w:hint="default" w:ascii="Times New Roman" w:hAnsi="Times New Roman" w:cs="Times New Roman"/>
          <w:snapToGrid w:val="0"/>
          <w:color w:val="auto"/>
          <w:kern w:val="21"/>
          <w:sz w:val="24"/>
          <w:szCs w:val="24"/>
          <w:highlight w:val="none"/>
          <w:lang w:val="en-US" w:eastAsia="zh-CN"/>
        </w:rPr>
        <w:t>卧龙电气银川</w:t>
      </w:r>
      <w:r>
        <w:rPr>
          <w:rFonts w:hint="default" w:ascii="Times New Roman" w:hAnsi="Times New Roman" w:cs="Times New Roman"/>
          <w:snapToGrid w:val="0"/>
          <w:color w:val="auto"/>
          <w:kern w:val="21"/>
          <w:sz w:val="24"/>
          <w:szCs w:val="24"/>
          <w:highlight w:val="none"/>
        </w:rPr>
        <w:t>变压器</w:t>
      </w:r>
      <w:r>
        <w:rPr>
          <w:rFonts w:hint="default" w:ascii="Times New Roman" w:hAnsi="Times New Roman" w:cs="Times New Roman"/>
          <w:snapToGrid w:val="0"/>
          <w:color w:val="auto"/>
          <w:kern w:val="21"/>
          <w:sz w:val="24"/>
          <w:szCs w:val="24"/>
          <w:highlight w:val="none"/>
          <w:lang w:val="en-US" w:eastAsia="zh-CN"/>
        </w:rPr>
        <w:t>有限公司</w:t>
      </w:r>
      <w:r>
        <w:rPr>
          <w:rFonts w:hint="default" w:ascii="Times New Roman" w:hAnsi="Times New Roman" w:cs="Times New Roman"/>
          <w:snapToGrid w:val="0"/>
          <w:color w:val="auto"/>
          <w:kern w:val="21"/>
          <w:sz w:val="24"/>
          <w:szCs w:val="24"/>
          <w:highlight w:val="none"/>
        </w:rPr>
        <w:t>生产的三相双绕组有载调压自冷变压器</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生产于2016年6月。</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型号：SZ1</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16</w:t>
      </w:r>
      <w:r>
        <w:rPr>
          <w:rFonts w:hint="default" w:ascii="Times New Roman" w:hAnsi="Times New Roman" w:cs="Times New Roman"/>
          <w:snapToGrid w:val="0"/>
          <w:color w:val="auto"/>
          <w:kern w:val="21"/>
          <w:sz w:val="24"/>
          <w:szCs w:val="24"/>
          <w:highlight w:val="none"/>
        </w:rPr>
        <w:t>000/110</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容量比：</w:t>
      </w:r>
      <w:r>
        <w:rPr>
          <w:rFonts w:hint="default" w:ascii="Times New Roman" w:hAnsi="Times New Roman" w:cs="Times New Roman"/>
          <w:snapToGrid w:val="0"/>
          <w:color w:val="auto"/>
          <w:kern w:val="21"/>
          <w:sz w:val="24"/>
          <w:szCs w:val="24"/>
          <w:highlight w:val="none"/>
          <w:lang w:val="en-US" w:eastAsia="zh-CN"/>
        </w:rPr>
        <w:t>16</w:t>
      </w:r>
      <w:r>
        <w:rPr>
          <w:rFonts w:hint="default" w:ascii="Times New Roman" w:hAnsi="Times New Roman" w:cs="Times New Roman"/>
          <w:snapToGrid w:val="0"/>
          <w:color w:val="auto"/>
          <w:kern w:val="21"/>
          <w:sz w:val="24"/>
          <w:szCs w:val="24"/>
          <w:highlight w:val="none"/>
        </w:rPr>
        <w:t>000/</w:t>
      </w:r>
      <w:r>
        <w:rPr>
          <w:rFonts w:hint="default" w:ascii="Times New Roman" w:hAnsi="Times New Roman" w:cs="Times New Roman"/>
          <w:snapToGrid w:val="0"/>
          <w:color w:val="auto"/>
          <w:kern w:val="21"/>
          <w:sz w:val="24"/>
          <w:szCs w:val="24"/>
          <w:highlight w:val="none"/>
          <w:lang w:val="en-US" w:eastAsia="zh-CN"/>
        </w:rPr>
        <w:t>16</w:t>
      </w:r>
      <w:r>
        <w:rPr>
          <w:rFonts w:hint="default" w:ascii="Times New Roman" w:hAnsi="Times New Roman" w:cs="Times New Roman"/>
          <w:snapToGrid w:val="0"/>
          <w:color w:val="auto"/>
          <w:kern w:val="21"/>
          <w:sz w:val="24"/>
          <w:szCs w:val="24"/>
          <w:highlight w:val="none"/>
        </w:rPr>
        <w:t>000kVA</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电压比：110±8×1.25%/10.5kV</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接线组别：YN，d11</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阻抗电压：Ud%=</w:t>
      </w:r>
      <w:r>
        <w:rPr>
          <w:rFonts w:hint="default" w:ascii="Times New Roman" w:hAnsi="Times New Roman" w:cs="Times New Roman"/>
          <w:snapToGrid w:val="0"/>
          <w:color w:val="auto"/>
          <w:kern w:val="21"/>
          <w:sz w:val="24"/>
          <w:szCs w:val="24"/>
          <w:highlight w:val="none"/>
          <w:lang w:val="en-US" w:eastAsia="zh-CN"/>
        </w:rPr>
        <w:t>10.66</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rPr>
        <w:t xml:space="preserve">    2#主变压器采用</w:t>
      </w:r>
      <w:r>
        <w:rPr>
          <w:rFonts w:hint="default" w:ascii="Times New Roman" w:hAnsi="Times New Roman" w:cs="Times New Roman"/>
          <w:snapToGrid w:val="0"/>
          <w:color w:val="auto"/>
          <w:kern w:val="21"/>
          <w:sz w:val="24"/>
          <w:szCs w:val="24"/>
          <w:highlight w:val="none"/>
          <w:lang w:val="en-US" w:eastAsia="zh-CN"/>
        </w:rPr>
        <w:t>银川卧龙</w:t>
      </w:r>
      <w:r>
        <w:rPr>
          <w:rFonts w:hint="default" w:ascii="Times New Roman" w:hAnsi="Times New Roman" w:cs="Times New Roman"/>
          <w:snapToGrid w:val="0"/>
          <w:color w:val="auto"/>
          <w:kern w:val="21"/>
          <w:sz w:val="24"/>
          <w:szCs w:val="24"/>
          <w:highlight w:val="none"/>
        </w:rPr>
        <w:t>变压器</w:t>
      </w:r>
      <w:r>
        <w:rPr>
          <w:rFonts w:hint="default" w:ascii="Times New Roman" w:hAnsi="Times New Roman" w:cs="Times New Roman"/>
          <w:snapToGrid w:val="0"/>
          <w:color w:val="auto"/>
          <w:kern w:val="21"/>
          <w:sz w:val="24"/>
          <w:szCs w:val="24"/>
          <w:highlight w:val="none"/>
          <w:lang w:val="en-US" w:eastAsia="zh-CN"/>
        </w:rPr>
        <w:t>有限公司</w:t>
      </w:r>
      <w:r>
        <w:rPr>
          <w:rFonts w:hint="default" w:ascii="Times New Roman" w:hAnsi="Times New Roman" w:cs="Times New Roman"/>
          <w:snapToGrid w:val="0"/>
          <w:color w:val="auto"/>
          <w:kern w:val="21"/>
          <w:sz w:val="24"/>
          <w:szCs w:val="24"/>
          <w:highlight w:val="none"/>
        </w:rPr>
        <w:t>生产的三相双绕组有载调压</w:t>
      </w:r>
      <w:r>
        <w:rPr>
          <w:rFonts w:hint="default" w:ascii="Times New Roman" w:hAnsi="Times New Roman" w:cs="Times New Roman"/>
          <w:snapToGrid w:val="0"/>
          <w:color w:val="auto"/>
          <w:kern w:val="21"/>
          <w:sz w:val="24"/>
          <w:szCs w:val="24"/>
          <w:highlight w:val="none"/>
          <w:lang w:val="en-US" w:eastAsia="zh-CN"/>
        </w:rPr>
        <w:t>自</w:t>
      </w:r>
      <w:r>
        <w:rPr>
          <w:rFonts w:hint="default" w:ascii="Times New Roman" w:hAnsi="Times New Roman" w:cs="Times New Roman"/>
          <w:snapToGrid w:val="0"/>
          <w:color w:val="auto"/>
          <w:kern w:val="21"/>
          <w:sz w:val="24"/>
          <w:szCs w:val="24"/>
          <w:highlight w:val="none"/>
        </w:rPr>
        <w:t>冷变压器</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生产于2010年6月。</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型号：SZ</w:t>
      </w:r>
      <w:r>
        <w:rPr>
          <w:rFonts w:hint="default" w:ascii="Times New Roman" w:hAnsi="Times New Roman" w:cs="Times New Roman"/>
          <w:snapToGrid w:val="0"/>
          <w:color w:val="auto"/>
          <w:kern w:val="21"/>
          <w:sz w:val="24"/>
          <w:szCs w:val="24"/>
          <w:highlight w:val="none"/>
          <w:lang w:val="en-US" w:eastAsia="zh-CN"/>
        </w:rPr>
        <w:t>11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200</w:t>
      </w:r>
      <w:r>
        <w:rPr>
          <w:rFonts w:hint="default" w:ascii="Times New Roman" w:hAnsi="Times New Roman" w:cs="Times New Roman"/>
          <w:snapToGrid w:val="0"/>
          <w:color w:val="auto"/>
          <w:kern w:val="21"/>
          <w:sz w:val="24"/>
          <w:szCs w:val="24"/>
          <w:highlight w:val="none"/>
        </w:rPr>
        <w:t>00/110</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容量比： </w:t>
      </w:r>
      <w:r>
        <w:rPr>
          <w:rFonts w:hint="default" w:ascii="Times New Roman" w:hAnsi="Times New Roman" w:cs="Times New Roman"/>
          <w:snapToGrid w:val="0"/>
          <w:color w:val="auto"/>
          <w:kern w:val="21"/>
          <w:sz w:val="24"/>
          <w:szCs w:val="24"/>
          <w:highlight w:val="none"/>
          <w:lang w:val="en-US" w:eastAsia="zh-CN"/>
        </w:rPr>
        <w:t>200</w:t>
      </w:r>
      <w:r>
        <w:rPr>
          <w:rFonts w:hint="default" w:ascii="Times New Roman" w:hAnsi="Times New Roman" w:cs="Times New Roman"/>
          <w:snapToGrid w:val="0"/>
          <w:color w:val="auto"/>
          <w:kern w:val="21"/>
          <w:sz w:val="24"/>
          <w:szCs w:val="24"/>
          <w:highlight w:val="none"/>
        </w:rPr>
        <w:t>00/</w:t>
      </w:r>
      <w:r>
        <w:rPr>
          <w:rFonts w:hint="default" w:ascii="Times New Roman" w:hAnsi="Times New Roman" w:cs="Times New Roman"/>
          <w:snapToGrid w:val="0"/>
          <w:color w:val="auto"/>
          <w:kern w:val="21"/>
          <w:sz w:val="24"/>
          <w:szCs w:val="24"/>
          <w:highlight w:val="none"/>
          <w:lang w:val="en-US" w:eastAsia="zh-CN"/>
        </w:rPr>
        <w:t>200</w:t>
      </w:r>
      <w:r>
        <w:rPr>
          <w:rFonts w:hint="default" w:ascii="Times New Roman" w:hAnsi="Times New Roman" w:cs="Times New Roman"/>
          <w:snapToGrid w:val="0"/>
          <w:color w:val="auto"/>
          <w:kern w:val="21"/>
          <w:sz w:val="24"/>
          <w:szCs w:val="24"/>
          <w:highlight w:val="none"/>
        </w:rPr>
        <w:t>00kVA</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电压比：110±8×1.25%/10.5kV</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接线组别：YN，d11</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rPr>
        <w:t>阻抗电压：Ud%=</w:t>
      </w:r>
      <w:r>
        <w:rPr>
          <w:rFonts w:hint="default" w:ascii="Times New Roman" w:hAnsi="Times New Roman" w:cs="Times New Roman"/>
          <w:snapToGrid w:val="0"/>
          <w:color w:val="auto"/>
          <w:kern w:val="21"/>
          <w:sz w:val="24"/>
          <w:szCs w:val="24"/>
          <w:highlight w:val="none"/>
          <w:lang w:val="en-US" w:eastAsia="zh-CN"/>
        </w:rPr>
        <w:t>10.64</w:t>
      </w:r>
    </w:p>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110kV配电装置</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110kV配电装置采用户</w:t>
      </w:r>
      <w:r>
        <w:rPr>
          <w:rFonts w:hint="default" w:ascii="Times New Roman" w:hAnsi="Times New Roman" w:eastAsia="宋体" w:cs="Times New Roman"/>
          <w:color w:val="auto"/>
          <w:sz w:val="24"/>
          <w:szCs w:val="24"/>
          <w:highlight w:val="none"/>
          <w:lang w:val="en-US" w:eastAsia="zh-CN"/>
        </w:rPr>
        <w:t>外</w:t>
      </w:r>
      <w:r>
        <w:rPr>
          <w:rFonts w:hint="default" w:ascii="Times New Roman" w:hAnsi="Times New Roman" w:eastAsia="宋体" w:cs="Times New Roman"/>
          <w:color w:val="auto"/>
          <w:sz w:val="24"/>
          <w:szCs w:val="24"/>
          <w:highlight w:val="none"/>
        </w:rPr>
        <w:t>AIS设备</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青山</w:t>
      </w:r>
      <w:r>
        <w:rPr>
          <w:rFonts w:hint="default" w:ascii="Times New Roman" w:hAnsi="Times New Roman" w:cs="Times New Roman"/>
          <w:snapToGrid w:val="0"/>
          <w:color w:val="auto"/>
          <w:kern w:val="21"/>
          <w:sz w:val="24"/>
          <w:szCs w:val="24"/>
          <w:highlight w:val="none"/>
        </w:rPr>
        <w:t>变</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10kV设备</w:t>
      </w:r>
      <w:r>
        <w:rPr>
          <w:rFonts w:hint="default" w:ascii="Times New Roman" w:hAnsi="Times New Roman" w:cs="Times New Roman"/>
          <w:color w:val="auto"/>
          <w:sz w:val="24"/>
          <w:szCs w:val="24"/>
          <w:highlight w:val="none"/>
        </w:rPr>
        <w:t>现状</w:t>
      </w:r>
      <w:r>
        <w:rPr>
          <w:rFonts w:hint="default" w:ascii="Times New Roman" w:hAnsi="Times New Roman" w:cs="Times New Roman"/>
          <w:snapToGrid w:val="0"/>
          <w:color w:val="auto"/>
          <w:kern w:val="21"/>
          <w:sz w:val="24"/>
          <w:szCs w:val="24"/>
          <w:highlight w:val="none"/>
        </w:rPr>
        <w:t>参数见表3-</w:t>
      </w:r>
      <w:r>
        <w:rPr>
          <w:rFonts w:hint="default" w:ascii="Times New Roman" w:hAns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rPr>
        <w:t>：</w:t>
      </w:r>
    </w:p>
    <w:p>
      <w:pPr>
        <w:keepNext w:val="0"/>
        <w:keepLines w:val="0"/>
        <w:pageBreakBefore w:val="0"/>
        <w:kinsoku/>
        <w:wordWrap/>
        <w:overflowPunct/>
        <w:topLinePunct w:val="0"/>
        <w:autoSpaceDE/>
        <w:autoSpaceDN/>
        <w:bidi w:val="0"/>
        <w:adjustRightInd w:val="0"/>
        <w:snapToGrid/>
        <w:spacing w:line="460" w:lineRule="exact"/>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110kV</w:t>
      </w:r>
      <w:r>
        <w:rPr>
          <w:rFonts w:hint="default" w:ascii="Times New Roman" w:hAnsi="Times New Roman" w:cs="Times New Roman"/>
          <w:color w:val="auto"/>
          <w:sz w:val="24"/>
          <w:szCs w:val="24"/>
          <w:highlight w:val="none"/>
        </w:rPr>
        <w:t>设备现状</w:t>
      </w:r>
      <w:r>
        <w:rPr>
          <w:rFonts w:hint="default" w:ascii="Times New Roman" w:hAnsi="Times New Roman" w:eastAsia="宋体" w:cs="Times New Roman"/>
          <w:color w:val="auto"/>
          <w:sz w:val="24"/>
          <w:szCs w:val="24"/>
          <w:highlight w:val="none"/>
        </w:rPr>
        <w:t>参数见表3-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3936"/>
        <w:gridCol w:w="1960"/>
        <w:gridCol w:w="1354"/>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设备</w:t>
            </w:r>
          </w:p>
        </w:tc>
        <w:tc>
          <w:tcPr>
            <w:tcW w:w="393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主要参数</w:t>
            </w:r>
          </w:p>
          <w:p>
            <w:pPr>
              <w:adjustRightInd w:val="0"/>
              <w:snapToGrid w:val="0"/>
              <w:jc w:val="center"/>
              <w:rPr>
                <w:rFonts w:hint="default" w:ascii="Times New Roman" w:hAnsi="Times New Roman" w:cs="Times New Roman"/>
                <w:color w:val="auto"/>
                <w:sz w:val="24"/>
                <w:szCs w:val="24"/>
                <w:highlight w:val="none"/>
              </w:rPr>
            </w:pPr>
          </w:p>
        </w:tc>
        <w:tc>
          <w:tcPr>
            <w:tcW w:w="196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最大工作电流（A）</w:t>
            </w:r>
          </w:p>
        </w:tc>
        <w:tc>
          <w:tcPr>
            <w:tcW w:w="1354"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短路电流（kA）</w:t>
            </w:r>
          </w:p>
        </w:tc>
        <w:tc>
          <w:tcPr>
            <w:tcW w:w="72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断路器</w:t>
            </w:r>
          </w:p>
        </w:tc>
        <w:tc>
          <w:tcPr>
            <w:tcW w:w="3936"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 xml:space="preserve">主进：LW45-126，3150A，40kA  </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出线：LW45-126，3150A，40kA</w:t>
            </w:r>
          </w:p>
        </w:tc>
        <w:tc>
          <w:tcPr>
            <w:tcW w:w="1960"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1#主进：220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主进：</w:t>
            </w:r>
            <w:r>
              <w:rPr>
                <w:rFonts w:hint="default" w:ascii="Times New Roman" w:hAnsi="Times New Roman" w:cs="Times New Roman"/>
                <w:color w:val="auto"/>
                <w:sz w:val="24"/>
                <w:szCs w:val="24"/>
                <w:highlight w:val="none"/>
                <w:lang w:val="en-US" w:eastAsia="zh-CN"/>
              </w:rPr>
              <w:t>110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w:t>
            </w:r>
            <w:r>
              <w:rPr>
                <w:rFonts w:hint="default" w:ascii="Times New Roman" w:hAnsi="Times New Roman" w:cs="Times New Roman"/>
                <w:color w:val="auto"/>
                <w:sz w:val="24"/>
                <w:szCs w:val="24"/>
                <w:highlight w:val="none"/>
                <w:lang w:val="en-US" w:eastAsia="zh-CN"/>
              </w:rPr>
              <w:t>315</w:t>
            </w:r>
            <w:r>
              <w:rPr>
                <w:rFonts w:hint="default" w:ascii="Times New Roman" w:hAnsi="Times New Roman" w:cs="Times New Roman"/>
                <w:color w:val="auto"/>
                <w:sz w:val="24"/>
                <w:szCs w:val="24"/>
                <w:highlight w:val="none"/>
              </w:rPr>
              <w:t>A</w:t>
            </w:r>
          </w:p>
        </w:tc>
        <w:tc>
          <w:tcPr>
            <w:tcW w:w="1354"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tcBorders>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隔离开关</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主进</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出线：</w:t>
            </w:r>
            <w:r>
              <w:rPr>
                <w:rFonts w:hint="default" w:ascii="Times New Roman" w:hAnsi="Times New Roman" w:cs="Times New Roman"/>
                <w:color w:val="auto"/>
                <w:sz w:val="24"/>
                <w:szCs w:val="24"/>
                <w:highlight w:val="none"/>
              </w:rPr>
              <w:t>GW4-126DW</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GW4-126IIDW</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126kV，1250A</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1#主进：220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主进：</w:t>
            </w:r>
            <w:r>
              <w:rPr>
                <w:rFonts w:hint="default" w:ascii="Times New Roman" w:hAnsi="Times New Roman" w:cs="Times New Roman"/>
                <w:color w:val="auto"/>
                <w:sz w:val="24"/>
                <w:szCs w:val="24"/>
                <w:highlight w:val="none"/>
                <w:lang w:val="en-US" w:eastAsia="zh-CN"/>
              </w:rPr>
              <w:t>110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w:t>
            </w:r>
            <w:r>
              <w:rPr>
                <w:rFonts w:hint="default" w:ascii="Times New Roman" w:hAnsi="Times New Roman" w:cs="Times New Roman"/>
                <w:color w:val="auto"/>
                <w:sz w:val="24"/>
                <w:szCs w:val="24"/>
                <w:highlight w:val="none"/>
                <w:lang w:val="en-US" w:eastAsia="zh-CN"/>
              </w:rPr>
              <w:t>315</w:t>
            </w:r>
            <w:r>
              <w:rPr>
                <w:rFonts w:hint="default" w:ascii="Times New Roman" w:hAnsi="Times New Roman" w:cs="Times New Roman"/>
                <w:color w:val="auto"/>
                <w:sz w:val="24"/>
                <w:szCs w:val="24"/>
                <w:highlight w:val="none"/>
              </w:rPr>
              <w:t>A</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电流互感器（主变进线）</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主进</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LB6-110W3、2×200/5</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准确级5P30/5P30/5P30/0.5/0.2S  </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容量40/40/40/30/30VA</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1#主进：220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主进：</w:t>
            </w:r>
            <w:r>
              <w:rPr>
                <w:rFonts w:hint="default" w:ascii="Times New Roman" w:hAnsi="Times New Roman" w:cs="Times New Roman"/>
                <w:color w:val="auto"/>
                <w:sz w:val="24"/>
                <w:szCs w:val="24"/>
                <w:highlight w:val="none"/>
                <w:lang w:val="en-US" w:eastAsia="zh-CN"/>
              </w:rPr>
              <w:t>110</w:t>
            </w:r>
            <w:r>
              <w:rPr>
                <w:rFonts w:hint="default" w:ascii="Times New Roman" w:hAnsi="Times New Roman" w:cs="Times New Roman"/>
                <w:color w:val="auto"/>
                <w:sz w:val="24"/>
                <w:szCs w:val="24"/>
                <w:highlight w:val="none"/>
              </w:rPr>
              <w:t>A</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满足</w:t>
            </w:r>
            <w:r>
              <w:rPr>
                <w:rFonts w:hint="default" w:ascii="Times New Roman" w:hAnsi="Times New Roman" w:cs="Times New Roman"/>
                <w:color w:val="auto"/>
                <w:sz w:val="24"/>
                <w:szCs w:val="24"/>
                <w:highlight w:val="none"/>
                <w:lang w:val="en-US" w:eastAsia="zh-CN"/>
              </w:rPr>
              <w:t>本期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电流互感器（出线）</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LB6-110W  2×200/5</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准确级5P20/5P20/5P20/0.5/0.2S   </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w:t>
            </w:r>
            <w:r>
              <w:rPr>
                <w:rFonts w:hint="default" w:ascii="Times New Roman" w:hAnsi="Times New Roman" w:cs="Times New Roman"/>
                <w:color w:val="auto"/>
                <w:sz w:val="24"/>
                <w:szCs w:val="24"/>
                <w:highlight w:val="none"/>
                <w:lang w:val="en-US" w:eastAsia="zh-CN"/>
              </w:rPr>
              <w:t>315</w:t>
            </w:r>
            <w:r>
              <w:rPr>
                <w:rFonts w:hint="default" w:ascii="Times New Roman" w:hAnsi="Times New Roman" w:cs="Times New Roman"/>
                <w:color w:val="auto"/>
                <w:sz w:val="24"/>
                <w:szCs w:val="24"/>
                <w:highlight w:val="none"/>
              </w:rPr>
              <w:t>A</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保护倍数不</w:t>
            </w:r>
            <w:r>
              <w:rPr>
                <w:rFonts w:hint="default" w:ascii="Times New Roman" w:hAnsi="Times New Roman" w:cs="Times New Roman"/>
                <w:color w:val="auto"/>
                <w:sz w:val="24"/>
                <w:szCs w:val="24"/>
                <w:highlight w:val="none"/>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电压互感器</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TYD110/</w:t>
            </w:r>
            <w:r>
              <w:rPr>
                <w:rFonts w:hint="default" w:ascii="Times New Roman" w:hAnsi="Times New Roman" w:cs="Times New Roman"/>
                <w:color w:val="auto"/>
                <w:sz w:val="24"/>
                <w:szCs w:val="24"/>
                <w:highlight w:val="none"/>
              </w:rPr>
              <w:drawing>
                <wp:inline distT="0" distB="0" distL="114300" distR="114300">
                  <wp:extent cx="266065" cy="133985"/>
                  <wp:effectExtent l="0" t="0" r="635" b="184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266065" cy="133985"/>
                          </a:xfrm>
                          <a:prstGeom prst="rect">
                            <a:avLst/>
                          </a:prstGeom>
                          <a:noFill/>
                          <a:ln>
                            <a:noFill/>
                          </a:ln>
                        </pic:spPr>
                      </pic:pic>
                    </a:graphicData>
                  </a:graphic>
                </wp:inline>
              </w:drawing>
            </w:r>
            <w:r>
              <w:rPr>
                <w:rFonts w:hint="default" w:ascii="Times New Roman" w:hAnsi="Times New Roman" w:cs="Times New Roman"/>
                <w:color w:val="auto"/>
                <w:sz w:val="24"/>
                <w:szCs w:val="24"/>
                <w:highlight w:val="none"/>
                <w:lang w:val="en-US" w:eastAsia="zh-CN"/>
              </w:rPr>
              <w:t>-0.02W3</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母线电压比</w:t>
            </w:r>
            <w:r>
              <w:rPr>
                <w:rFonts w:hint="default" w:ascii="Times New Roman" w:hAnsi="Times New Roman" w:cs="Times New Roman"/>
                <w:color w:val="auto"/>
                <w:position w:val="-28"/>
                <w:sz w:val="24"/>
                <w:szCs w:val="24"/>
                <w:highlight w:val="none"/>
                <w:lang w:val="en-US" w:eastAsia="zh-CN"/>
              </w:rPr>
              <w:object>
                <v:shape id="_x0000_i1025" o:spt="75" type="#_x0000_t75" style="height:23.55pt;width:84.5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default" w:ascii="Times New Roman" w:hAnsi="Times New Roman" w:cs="Times New Roman"/>
                <w:color w:val="auto"/>
                <w:sz w:val="24"/>
                <w:szCs w:val="24"/>
                <w:highlight w:val="none"/>
                <w:lang w:val="en-US" w:eastAsia="zh-CN"/>
              </w:rPr>
              <w:t>kV</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氧化锌避雷器</w:t>
            </w:r>
          </w:p>
        </w:tc>
        <w:tc>
          <w:tcPr>
            <w:tcW w:w="3936"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HY10W-102/266W</w:t>
            </w:r>
          </w:p>
        </w:tc>
        <w:tc>
          <w:tcPr>
            <w:tcW w:w="1960"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1354"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726" w:type="dxa"/>
            <w:tcBorders>
              <w:top w:val="single" w:color="auto" w:sz="4" w:space="0"/>
              <w:lef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间隔内导线</w:t>
            </w:r>
          </w:p>
        </w:tc>
        <w:tc>
          <w:tcPr>
            <w:tcW w:w="393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母线：LGJ-185  出线间隔：LGJ-185  PT间隔LGJ-185</w:t>
            </w:r>
          </w:p>
        </w:tc>
        <w:tc>
          <w:tcPr>
            <w:tcW w:w="1960" w:type="dxa"/>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1#主进：220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主进：</w:t>
            </w:r>
            <w:r>
              <w:rPr>
                <w:rFonts w:hint="default" w:ascii="Times New Roman" w:hAnsi="Times New Roman" w:cs="Times New Roman"/>
                <w:color w:val="auto"/>
                <w:sz w:val="24"/>
                <w:szCs w:val="24"/>
                <w:highlight w:val="none"/>
                <w:lang w:val="en-US" w:eastAsia="zh-CN"/>
              </w:rPr>
              <w:t>110</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母线：315</w:t>
            </w:r>
            <w:r>
              <w:rPr>
                <w:rFonts w:hint="default" w:ascii="Times New Roman" w:hAnsi="Times New Roman" w:cs="Times New Roman"/>
                <w:color w:val="auto"/>
                <w:sz w:val="24"/>
                <w:szCs w:val="24"/>
                <w:highlight w:val="none"/>
              </w:rPr>
              <w:t>A</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w:t>
            </w:r>
            <w:r>
              <w:rPr>
                <w:rFonts w:hint="default" w:ascii="Times New Roman" w:hAnsi="Times New Roman" w:cs="Times New Roman"/>
                <w:color w:val="auto"/>
                <w:sz w:val="24"/>
                <w:szCs w:val="24"/>
                <w:highlight w:val="none"/>
                <w:lang w:val="en-US" w:eastAsia="zh-CN"/>
              </w:rPr>
              <w:t>315</w:t>
            </w:r>
            <w:r>
              <w:rPr>
                <w:rFonts w:hint="default" w:ascii="Times New Roman" w:hAnsi="Times New Roman" w:cs="Times New Roman"/>
                <w:color w:val="auto"/>
                <w:sz w:val="24"/>
                <w:szCs w:val="24"/>
                <w:highlight w:val="none"/>
              </w:rPr>
              <w:t>A</w:t>
            </w:r>
          </w:p>
        </w:tc>
        <w:tc>
          <w:tcPr>
            <w:tcW w:w="1354"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bl>
    <w:p>
      <w:pPr>
        <w:keepNext w:val="0"/>
        <w:keepLines w:val="0"/>
        <w:pageBreakBefore w:val="0"/>
        <w:widowControl w:val="0"/>
        <w:kinsoku/>
        <w:wordWrap/>
        <w:overflowPunct/>
        <w:topLinePunct w:val="0"/>
        <w:autoSpaceDE/>
        <w:autoSpaceDN/>
        <w:bidi w:val="0"/>
        <w:adjustRightInd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 xml:space="preserve">   </w:t>
      </w:r>
      <w:r>
        <w:rPr>
          <w:rFonts w:hint="default" w:ascii="Times New Roman" w:hAnsi="Times New Roman" w:cs="Times New Roman"/>
          <w:color w:val="auto"/>
          <w:sz w:val="24"/>
          <w:szCs w:val="24"/>
          <w:highlight w:val="none"/>
          <w:lang w:val="en-US" w:eastAsia="zh-CN"/>
        </w:rPr>
        <w:t>c.</w:t>
      </w:r>
      <w:r>
        <w:rPr>
          <w:rFonts w:hint="default" w:ascii="Times New Roman" w:hAnsi="Times New Roman" w:cs="Times New Roman"/>
          <w:color w:val="auto"/>
          <w:sz w:val="24"/>
          <w:szCs w:val="24"/>
          <w:highlight w:val="none"/>
        </w:rPr>
        <w:t>10kV配电装置</w:t>
      </w:r>
    </w:p>
    <w:p>
      <w:pPr>
        <w:keepNext w:val="0"/>
        <w:keepLines w:val="0"/>
        <w:pageBreakBefore w:val="0"/>
        <w:widowControl w:val="0"/>
        <w:kinsoku/>
        <w:wordWrap/>
        <w:overflowPunct/>
        <w:topLinePunct w:val="0"/>
        <w:autoSpaceDE/>
        <w:autoSpaceDN/>
        <w:bidi w:val="0"/>
        <w:adjustRightInd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开关柜</w:t>
      </w:r>
      <w:r>
        <w:rPr>
          <w:rFonts w:hint="default"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10kV配电装置采用的是KYN28-12型移开式开关柜。</w:t>
      </w:r>
      <w:r>
        <w:rPr>
          <w:rFonts w:hint="default" w:ascii="Times New Roman" w:hAnsi="Times New Roman" w:cs="Times New Roman"/>
          <w:snapToGrid w:val="0"/>
          <w:color w:val="auto"/>
          <w:kern w:val="21"/>
          <w:sz w:val="24"/>
          <w:szCs w:val="24"/>
          <w:highlight w:val="none"/>
          <w:lang w:val="en-US" w:eastAsia="zh-CN"/>
        </w:rPr>
        <w:t>青山</w:t>
      </w:r>
      <w:r>
        <w:rPr>
          <w:rFonts w:hint="default" w:ascii="Times New Roman" w:hAnsi="Times New Roman" w:cs="Times New Roman"/>
          <w:snapToGrid w:val="0"/>
          <w:color w:val="auto"/>
          <w:kern w:val="21"/>
          <w:sz w:val="24"/>
          <w:szCs w:val="24"/>
          <w:highlight w:val="none"/>
        </w:rPr>
        <w:t>变10kV设备现状参数见表3-</w:t>
      </w:r>
      <w:r>
        <w:rPr>
          <w:rFonts w:hint="default" w:ascii="Times New Roman" w:hAnsi="Times New Roman" w:cs="Times New Roman"/>
          <w:snapToGrid w:val="0"/>
          <w:color w:val="auto"/>
          <w:kern w:val="21"/>
          <w:sz w:val="24"/>
          <w:szCs w:val="24"/>
          <w:highlight w:val="none"/>
          <w:lang w:val="en-US" w:eastAsia="zh-CN"/>
        </w:rPr>
        <w:t>4</w:t>
      </w:r>
      <w:r>
        <w:rPr>
          <w:rFonts w:hint="default" w:ascii="Times New Roman" w:hAnsi="Times New Roman" w:cs="Times New Roman"/>
          <w:snapToGrid w:val="0"/>
          <w:color w:val="auto"/>
          <w:kern w:val="21"/>
          <w:sz w:val="24"/>
          <w:szCs w:val="24"/>
          <w:highlight w:val="none"/>
        </w:rPr>
        <w:t>：</w:t>
      </w:r>
    </w:p>
    <w:p>
      <w:pPr>
        <w:keepNext w:val="0"/>
        <w:keepLines w:val="0"/>
        <w:pageBreakBefore w:val="0"/>
        <w:widowControl w:val="0"/>
        <w:kinsoku/>
        <w:wordWrap/>
        <w:overflowPunct/>
        <w:topLinePunct w:val="0"/>
        <w:autoSpaceDE/>
        <w:autoSpaceDN/>
        <w:bidi w:val="0"/>
        <w:snapToGrid/>
        <w:spacing w:line="460" w:lineRule="exact"/>
        <w:ind w:firstLine="480" w:firstLineChars="200"/>
        <w:jc w:val="center"/>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表3-</w:t>
      </w:r>
      <w:r>
        <w:rPr>
          <w:rFonts w:hint="default" w:ascii="Times New Roman" w:hAnsi="Times New Roman" w:cs="Times New Roman"/>
          <w:snapToGrid w:val="0"/>
          <w:color w:val="auto"/>
          <w:kern w:val="21"/>
          <w:sz w:val="24"/>
          <w:szCs w:val="24"/>
          <w:highlight w:val="none"/>
          <w:lang w:val="en-US" w:eastAsia="zh-CN"/>
        </w:rPr>
        <w:t>4</w:t>
      </w:r>
      <w:r>
        <w:rPr>
          <w:rFonts w:hint="default" w:ascii="Times New Roman" w:hAnsi="Times New Roman" w:cs="Times New Roman"/>
          <w:snapToGrid w:val="0"/>
          <w:color w:val="auto"/>
          <w:kern w:val="21"/>
          <w:sz w:val="24"/>
          <w:szCs w:val="24"/>
          <w:highlight w:val="none"/>
        </w:rPr>
        <w:t xml:space="preserve">  10kV设备现状参数表</w:t>
      </w:r>
    </w:p>
    <w:tbl>
      <w:tblPr>
        <w:tblStyle w:val="50"/>
        <w:tblW w:w="94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3750"/>
        <w:gridCol w:w="1425"/>
        <w:gridCol w:w="1307"/>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主要</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设备</w:t>
            </w:r>
          </w:p>
        </w:tc>
        <w:tc>
          <w:tcPr>
            <w:tcW w:w="3750"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主要参数</w:t>
            </w:r>
          </w:p>
          <w:p>
            <w:pPr>
              <w:adjustRightInd w:val="0"/>
              <w:snapToGrid w:val="0"/>
              <w:jc w:val="center"/>
              <w:rPr>
                <w:rFonts w:hint="default" w:ascii="Times New Roman" w:hAnsi="Times New Roman" w:cs="Times New Roman"/>
                <w:color w:val="auto"/>
                <w:sz w:val="24"/>
                <w:szCs w:val="24"/>
                <w:highlight w:val="none"/>
                <w:lang w:val="en-US" w:eastAsia="zh-CN"/>
              </w:rPr>
            </w:pPr>
          </w:p>
        </w:tc>
        <w:tc>
          <w:tcPr>
            <w:tcW w:w="1425"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最大工作电流（A）</w:t>
            </w:r>
          </w:p>
        </w:tc>
        <w:tc>
          <w:tcPr>
            <w:tcW w:w="1307"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短路电流（kA）</w:t>
            </w:r>
          </w:p>
        </w:tc>
        <w:tc>
          <w:tcPr>
            <w:tcW w:w="1500" w:type="dxa"/>
            <w:tcBorders>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restart"/>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断路器</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kern w:val="2"/>
                <w:sz w:val="24"/>
                <w:szCs w:val="24"/>
                <w:highlight w:val="none"/>
                <w:lang w:val="en-US" w:eastAsia="zh-CN"/>
              </w:rPr>
            </w:pPr>
            <w:r>
              <w:rPr>
                <w:rFonts w:hint="default" w:ascii="Times New Roman" w:hAnsi="Times New Roman" w:cs="Times New Roman"/>
                <w:color w:val="auto"/>
                <w:sz w:val="24"/>
                <w:szCs w:val="24"/>
                <w:highlight w:val="none"/>
                <w:lang w:val="en-US" w:eastAsia="zh-CN"/>
              </w:rPr>
              <w:t>1#主进2000A，31.5kA，4s热稳定电流31.5kA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1#主进：2425A</w:t>
            </w:r>
          </w:p>
          <w:p>
            <w:pPr>
              <w:adjustRightInd w:val="0"/>
              <w:snapToGrid w:val="0"/>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最大工作电流</w:t>
            </w:r>
            <w:r>
              <w:rPr>
                <w:rFonts w:hint="default" w:ascii="Times New Roman" w:hAnsi="Times New Roman" w:eastAsia="宋体" w:cs="Times New Roman"/>
                <w:color w:val="auto"/>
                <w:sz w:val="24"/>
                <w:szCs w:val="24"/>
                <w:highlight w:val="none"/>
                <w:lang w:val="en-US" w:eastAsia="zh-CN"/>
              </w:rPr>
              <w:t>不</w:t>
            </w: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2#主进2000A，31.5kA，4s热稳定电流31.5kA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2#主进：1212A</w:t>
            </w:r>
          </w:p>
          <w:p>
            <w:pPr>
              <w:adjustRightInd w:val="0"/>
              <w:snapToGrid w:val="0"/>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分段2000A，31.5kA，4s热稳定电流31.5kA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分段</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1155</w:t>
            </w:r>
            <w:r>
              <w:rPr>
                <w:rFonts w:hint="default" w:ascii="Times New Roman" w:hAnsi="Times New Roman" w:cs="Times New Roman"/>
                <w:color w:val="auto"/>
                <w:sz w:val="24"/>
                <w:szCs w:val="24"/>
                <w:highlight w:val="none"/>
              </w:rPr>
              <w:t>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出线1250A，25kA，4s热稳定电流25kA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满足（注1）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电容器回路1250A，25kA，4s热稳定电流25kA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1#电容器:285A</w:t>
            </w:r>
          </w:p>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2#电容器:225A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站用变回路1250A，25kA，4s热稳定电流25kA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5.8A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restart"/>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电流互感器</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cs="Times New Roman"/>
                <w:color w:val="auto"/>
                <w:sz w:val="24"/>
                <w:szCs w:val="24"/>
                <w:highlight w:val="none"/>
                <w:lang w:val="en-US" w:eastAsia="zh-CN"/>
              </w:rPr>
              <w:t>1#主变进线1600/5A，准确级0.2S/0.5/5P20/5P20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1#主进：2425A</w:t>
            </w:r>
          </w:p>
          <w:p>
            <w:pPr>
              <w:adjustRightInd w:val="0"/>
              <w:snapToGrid w:val="0"/>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变比不满足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2#主变进线1600/5A，准确级0.2S/0.5/5P20/5P20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2#主进：1212A</w:t>
            </w:r>
          </w:p>
          <w:p>
            <w:pPr>
              <w:adjustRightInd w:val="0"/>
              <w:snapToGrid w:val="0"/>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分段1600/5A，准确级0.2S/0.5/5P20/5P20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分段</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1155</w:t>
            </w:r>
            <w:r>
              <w:rPr>
                <w:rFonts w:hint="default" w:ascii="Times New Roman" w:hAnsi="Times New Roman" w:cs="Times New Roman"/>
                <w:color w:val="auto"/>
                <w:sz w:val="24"/>
                <w:szCs w:val="24"/>
                <w:highlight w:val="none"/>
              </w:rPr>
              <w:t>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出线 2×300/5A，准确级  0.2S/0.5/5P20</w:t>
            </w:r>
          </w:p>
          <w:p>
            <w:pPr>
              <w:adjustRightInd w:val="0"/>
              <w:snapToGrid w:val="0"/>
              <w:rPr>
                <w:rFonts w:hint="default" w:ascii="Times New Roman" w:hAnsi="Times New Roman" w:cs="Times New Roman"/>
                <w:color w:val="auto"/>
                <w:sz w:val="24"/>
                <w:szCs w:val="24"/>
                <w:highlight w:val="none"/>
                <w:lang w:val="en-US" w:eastAsia="zh-CN"/>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满足（注1）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电容器回路2×400/5A  0.2S/0.5/5P20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1#电容器:285A</w:t>
            </w:r>
          </w:p>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2#电容器:225A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站用变回路2×400/5A，0.2S/0.5/5P20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5.8A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电压互感器</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电压比</w:t>
            </w:r>
            <w:r>
              <w:rPr>
                <w:rFonts w:hint="default" w:ascii="Times New Roman" w:hAnsi="Times New Roman" w:cs="Times New Roman"/>
                <w:color w:val="auto"/>
                <w:sz w:val="24"/>
                <w:szCs w:val="24"/>
                <w:highlight w:val="none"/>
                <w:lang w:val="en-US" w:eastAsia="zh-CN"/>
              </w:rPr>
              <w:object>
                <v:shape id="_x0000_i1026" o:spt="75" type="#_x0000_t75" style="height:22.9pt;width:86.35pt;" o:ole="t" filled="f" o:preferrelative="t" stroked="f" coordsize="21600,21600">
                  <v:path/>
                  <v:fill on="f" focussize="0,0"/>
                  <v:stroke on="f"/>
                  <v:imagedata r:id="rId17" o:title=""/>
                  <o:lock v:ext="edit" grouping="f" rotation="f" text="f" aspectratio="t"/>
                  <w10:wrap type="none"/>
                  <w10:anchorlock/>
                </v:shape>
                <o:OLEObject Type="Embed" ProgID="Equation.KSEE3" ShapeID="_x0000_i1026" DrawAspect="Content" ObjectID="_1468075726" r:id="rId16">
                  <o:LockedField>false</o:LockedField>
                </o:OLEObject>
              </w:object>
            </w:r>
            <w:r>
              <w:rPr>
                <w:rFonts w:hint="default" w:ascii="Times New Roman" w:hAnsi="Times New Roman" w:cs="Times New Roman"/>
                <w:color w:val="auto"/>
                <w:sz w:val="24"/>
                <w:szCs w:val="24"/>
                <w:highlight w:val="none"/>
                <w:lang w:val="en-US" w:eastAsia="zh-CN"/>
              </w:rPr>
              <w:t>kV，准确级0.2/0.5/3P，容量50/50/100VA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避雷器</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出线柜：HY5WZ-17/45，电容器出线柜HY5WR-17/45</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rPr>
            </w:pPr>
          </w:p>
        </w:tc>
        <w:tc>
          <w:tcPr>
            <w:tcW w:w="1500"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restart"/>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穿墙套管</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1#主进：2000A</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kern w:val="2"/>
                <w:sz w:val="24"/>
                <w:szCs w:val="24"/>
                <w:highlight w:val="none"/>
                <w:lang w:val="en-US" w:eastAsia="zh-CN"/>
              </w:rPr>
            </w:pPr>
            <w:r>
              <w:rPr>
                <w:rFonts w:hint="default" w:ascii="Times New Roman" w:hAnsi="Times New Roman" w:cs="Times New Roman"/>
                <w:color w:val="auto"/>
                <w:sz w:val="24"/>
                <w:szCs w:val="24"/>
                <w:highlight w:val="none"/>
                <w:lang w:val="en-US" w:eastAsia="zh-CN"/>
              </w:rPr>
              <w:t>1#主进：2425A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p>
        </w:tc>
        <w:tc>
          <w:tcPr>
            <w:tcW w:w="1500" w:type="dxa"/>
            <w:tcBorders>
              <w:top w:val="single" w:color="auto" w:sz="4" w:space="0"/>
              <w:left w:val="single" w:color="auto" w:sz="4" w:space="0"/>
              <w:bottom w:val="single" w:color="auto" w:sz="4" w:space="0"/>
            </w:tcBorders>
            <w:noWrap w:val="0"/>
            <w:vAlign w:val="center"/>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不满足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bottom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2#主进：2000A</w:t>
            </w: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kern w:val="2"/>
                <w:sz w:val="24"/>
                <w:szCs w:val="24"/>
                <w:highlight w:val="none"/>
                <w:lang w:val="en-US" w:eastAsia="zh-CN"/>
              </w:rPr>
            </w:pPr>
            <w:r>
              <w:rPr>
                <w:rFonts w:hint="default" w:ascii="Times New Roman" w:hAnsi="Times New Roman" w:cs="Times New Roman"/>
                <w:color w:val="auto"/>
                <w:sz w:val="24"/>
                <w:szCs w:val="24"/>
                <w:highlight w:val="none"/>
                <w:lang w:val="en-US" w:eastAsia="zh-CN"/>
              </w:rPr>
              <w:t>1212A</w:t>
            </w:r>
          </w:p>
        </w:tc>
        <w:tc>
          <w:tcPr>
            <w:tcW w:w="0" w:type="auto"/>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lang w:val="en-US" w:eastAsia="zh-CN"/>
              </w:rPr>
            </w:pPr>
          </w:p>
        </w:tc>
        <w:tc>
          <w:tcPr>
            <w:tcW w:w="0" w:type="auto"/>
            <w:tcBorders>
              <w:top w:val="single" w:color="auto" w:sz="4" w:space="0"/>
              <w:left w:val="single" w:color="auto" w:sz="4" w:space="0"/>
              <w:bottom w:val="single" w:color="auto" w:sz="4" w:space="0"/>
            </w:tcBorders>
            <w:noWrap w:val="0"/>
            <w:vAlign w:val="top"/>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restart"/>
            <w:tcBorders>
              <w:top w:val="single" w:color="auto" w:sz="4" w:space="0"/>
              <w:bottom w:val="single" w:color="auto" w:sz="4" w:space="0"/>
              <w:right w:val="single" w:color="auto" w:sz="4" w:space="0"/>
            </w:tcBorders>
            <w:noWrap w:val="0"/>
            <w:vAlign w:val="top"/>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母线</w:t>
            </w:r>
          </w:p>
        </w:tc>
        <w:tc>
          <w:tcPr>
            <w:tcW w:w="0" w:type="auto"/>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东母：T</w:t>
            </w:r>
            <w:r>
              <w:rPr>
                <w:rFonts w:hint="default" w:ascii="Times New Roman" w:hAnsi="Times New Roman" w:eastAsia="宋体" w:cs="Times New Roman"/>
                <w:color w:val="auto"/>
                <w:sz w:val="24"/>
                <w:szCs w:val="24"/>
                <w:highlight w:val="none"/>
                <w:lang w:val="zh-CN"/>
              </w:rPr>
              <w:t>MY-1</w:t>
            </w:r>
            <w:r>
              <w:rPr>
                <w:rFonts w:hint="default" w:ascii="Times New Roman" w:hAnsi="Times New Roman" w:eastAsia="宋体" w:cs="Times New Roman"/>
                <w:color w:val="auto"/>
                <w:sz w:val="24"/>
                <w:szCs w:val="24"/>
                <w:highlight w:val="none"/>
              </w:rPr>
              <w:t>00</w:t>
            </w:r>
            <w:r>
              <w:rPr>
                <w:rFonts w:hint="default" w:ascii="Times New Roman" w:hAnsi="Times New Roman" w:eastAsia="宋体" w:cs="Times New Roman"/>
                <w:color w:val="auto"/>
                <w:sz w:val="24"/>
                <w:szCs w:val="24"/>
                <w:highlight w:val="none"/>
                <w:lang w:val="zh-CN"/>
              </w:rPr>
              <w:t>×10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2309A</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bottom w:val="single" w:color="auto" w:sz="4" w:space="0"/>
            </w:tcBorders>
            <w:noWrap w:val="0"/>
            <w:vAlign w:val="center"/>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不满足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tcBorders>
              <w:top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rPr>
            </w:pPr>
          </w:p>
        </w:tc>
        <w:tc>
          <w:tcPr>
            <w:tcW w:w="0" w:type="auto"/>
            <w:tcBorders>
              <w:top w:val="single" w:color="auto" w:sz="4" w:space="0"/>
              <w:left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西母：T</w:t>
            </w:r>
            <w:r>
              <w:rPr>
                <w:rFonts w:hint="default" w:ascii="Times New Roman" w:hAnsi="Times New Roman" w:eastAsia="宋体" w:cs="Times New Roman"/>
                <w:color w:val="auto"/>
                <w:sz w:val="24"/>
                <w:szCs w:val="24"/>
                <w:highlight w:val="none"/>
                <w:lang w:val="zh-CN"/>
              </w:rPr>
              <w:t>MY-1</w:t>
            </w:r>
            <w:r>
              <w:rPr>
                <w:rFonts w:hint="default" w:ascii="Times New Roman" w:hAnsi="Times New Roman" w:eastAsia="宋体" w:cs="Times New Roman"/>
                <w:color w:val="auto"/>
                <w:sz w:val="24"/>
                <w:szCs w:val="24"/>
                <w:highlight w:val="none"/>
              </w:rPr>
              <w:t>00</w:t>
            </w:r>
            <w:r>
              <w:rPr>
                <w:rFonts w:hint="default" w:ascii="Times New Roman" w:hAnsi="Times New Roman" w:eastAsia="宋体" w:cs="Times New Roman"/>
                <w:color w:val="auto"/>
                <w:sz w:val="24"/>
                <w:szCs w:val="24"/>
                <w:highlight w:val="none"/>
                <w:lang w:val="zh-CN"/>
              </w:rPr>
              <w:t>×10</w:t>
            </w:r>
          </w:p>
        </w:tc>
        <w:tc>
          <w:tcPr>
            <w:tcW w:w="1425" w:type="dxa"/>
            <w:tcBorders>
              <w:top w:val="single" w:color="auto" w:sz="4" w:space="0"/>
              <w:left w:val="single" w:color="auto" w:sz="4" w:space="0"/>
              <w:right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1155A</w:t>
            </w:r>
          </w:p>
        </w:tc>
        <w:tc>
          <w:tcPr>
            <w:tcW w:w="1307" w:type="dxa"/>
            <w:tcBorders>
              <w:top w:val="single" w:color="auto" w:sz="4" w:space="0"/>
              <w:left w:val="single" w:color="auto" w:sz="4" w:space="0"/>
              <w:right w:val="single" w:color="auto" w:sz="4" w:space="0"/>
            </w:tcBorders>
            <w:noWrap w:val="0"/>
            <w:vAlign w:val="top"/>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23.94kA</w:t>
            </w:r>
          </w:p>
        </w:tc>
        <w:tc>
          <w:tcPr>
            <w:tcW w:w="1500" w:type="dxa"/>
            <w:tcBorders>
              <w:top w:val="single" w:color="auto" w:sz="4" w:space="0"/>
              <w:left w:val="single" w:color="auto" w:sz="4" w:space="0"/>
            </w:tcBorders>
            <w:noWrap w:val="0"/>
            <w:vAlign w:val="top"/>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满足</w:t>
            </w: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注1：由于本次负荷增大，其中两回出线电流为1386A，原有设备参数不满足要求。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无功补偿装置</w:t>
      </w:r>
      <w:r>
        <w:rPr>
          <w:rFonts w:hint="default"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lang w:val="en-US" w:eastAsia="zh-CN"/>
        </w:rPr>
        <w:t>1#变10kV侧装设1组容量为3800kvar的并联电容器组，2#变10kV侧装设1组容量为3000kvar的并联电容器组。</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color w:val="auto"/>
          <w:sz w:val="24"/>
          <w:szCs w:val="24"/>
          <w:highlight w:val="none"/>
          <w:lang w:val="en-US" w:eastAsia="zh-CN"/>
        </w:rPr>
        <w:t>e.站用</w:t>
      </w:r>
      <w:r>
        <w:rPr>
          <w:rFonts w:hint="default" w:ascii="Times New Roman" w:hAnsi="Times New Roman" w:eastAsia="宋体" w:cs="Times New Roman"/>
          <w:snapToGrid w:val="0"/>
          <w:color w:val="auto"/>
          <w:kern w:val="21"/>
          <w:sz w:val="24"/>
          <w:szCs w:val="24"/>
          <w:highlight w:val="none"/>
          <w:lang w:val="en-US" w:eastAsia="zh-CN"/>
        </w:rPr>
        <w:t>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每台主变低压侧都配有一</w:t>
      </w:r>
      <w:r>
        <w:rPr>
          <w:rFonts w:hint="default" w:ascii="Times New Roman" w:hAnsi="Times New Roman" w:eastAsia="宋体" w:cs="Times New Roman"/>
          <w:snapToGrid w:val="0"/>
          <w:color w:val="auto"/>
          <w:kern w:val="21"/>
          <w:sz w:val="24"/>
          <w:szCs w:val="24"/>
          <w:highlight w:val="none"/>
          <w:lang w:val="en-US" w:eastAsia="zh-CN"/>
        </w:rPr>
        <w:t>台1</w:t>
      </w:r>
      <w:r>
        <w:rPr>
          <w:rFonts w:hint="default" w:ascii="Times New Roman" w:hAnsi="Times New Roman" w:eastAsia="宋体" w:cs="Times New Roman"/>
          <w:snapToGrid w:val="0"/>
          <w:color w:val="auto"/>
          <w:kern w:val="21"/>
          <w:sz w:val="24"/>
          <w:szCs w:val="24"/>
          <w:highlight w:val="none"/>
        </w:rPr>
        <w:t>00</w:t>
      </w:r>
      <w:r>
        <w:rPr>
          <w:rFonts w:hint="default" w:ascii="Times New Roman" w:hAnsi="Times New Roman" w:eastAsia="宋体" w:cs="Times New Roman"/>
          <w:snapToGrid w:val="0"/>
          <w:color w:val="auto"/>
          <w:kern w:val="21"/>
          <w:sz w:val="24"/>
          <w:szCs w:val="24"/>
          <w:highlight w:val="none"/>
          <w:lang w:val="en-US" w:eastAsia="zh-CN"/>
        </w:rPr>
        <w:t>k</w:t>
      </w:r>
      <w:r>
        <w:rPr>
          <w:rFonts w:hint="default" w:ascii="Times New Roman" w:hAnsi="Times New Roman" w:eastAsia="宋体" w:cs="Times New Roman"/>
          <w:snapToGrid w:val="0"/>
          <w:color w:val="auto"/>
          <w:kern w:val="21"/>
          <w:sz w:val="24"/>
          <w:szCs w:val="24"/>
          <w:highlight w:val="none"/>
        </w:rPr>
        <w:t>VA的站用变。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f.</w:t>
      </w:r>
      <w:r>
        <w:rPr>
          <w:rFonts w:hint="default" w:ascii="Times New Roman" w:hAnsi="Times New Roman" w:cs="Times New Roman"/>
          <w:color w:val="auto"/>
          <w:sz w:val="24"/>
          <w:szCs w:val="24"/>
          <w:highlight w:val="none"/>
          <w:lang w:val="zh-CN"/>
        </w:rPr>
        <w:t>导体</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变电站各回路</w:t>
      </w:r>
      <w:r>
        <w:rPr>
          <w:rFonts w:hint="default" w:ascii="Times New Roman" w:hAnsi="Times New Roman" w:eastAsia="宋体" w:cs="Times New Roman"/>
          <w:snapToGrid w:val="0"/>
          <w:color w:val="auto"/>
          <w:kern w:val="21"/>
          <w:sz w:val="24"/>
          <w:szCs w:val="24"/>
          <w:highlight w:val="none"/>
          <w:lang w:val="zh-CN" w:eastAsia="zh-CN"/>
        </w:rPr>
        <w:t>现状</w:t>
      </w:r>
      <w:r>
        <w:rPr>
          <w:rFonts w:hint="default" w:ascii="Times New Roman" w:hAnsi="Times New Roman" w:eastAsia="宋体" w:cs="Times New Roman"/>
          <w:snapToGrid w:val="0"/>
          <w:color w:val="auto"/>
          <w:kern w:val="21"/>
          <w:sz w:val="24"/>
          <w:szCs w:val="24"/>
          <w:highlight w:val="none"/>
          <w:lang w:val="zh-CN"/>
        </w:rPr>
        <w:t>导体</w:t>
      </w:r>
      <w:r>
        <w:rPr>
          <w:rFonts w:hint="default" w:ascii="Times New Roman" w:hAnsi="Times New Roman" w:eastAsia="宋体" w:cs="Times New Roman"/>
          <w:snapToGrid w:val="0"/>
          <w:color w:val="auto"/>
          <w:kern w:val="21"/>
          <w:sz w:val="24"/>
          <w:szCs w:val="24"/>
          <w:highlight w:val="none"/>
          <w:lang w:val="zh-CN" w:eastAsia="zh-CN"/>
        </w:rPr>
        <w:t>及</w:t>
      </w:r>
      <w:r>
        <w:rPr>
          <w:rFonts w:hint="default" w:ascii="Times New Roman" w:hAnsi="Times New Roman" w:eastAsia="宋体" w:cs="Times New Roman"/>
          <w:snapToGrid w:val="0"/>
          <w:color w:val="auto"/>
          <w:kern w:val="21"/>
          <w:sz w:val="24"/>
          <w:szCs w:val="24"/>
          <w:highlight w:val="none"/>
          <w:lang w:val="zh-CN"/>
        </w:rPr>
        <w:t>最大工作电流见下表</w:t>
      </w: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p>
    <w:p>
      <w:pPr>
        <w:keepNext w:val="0"/>
        <w:keepLines w:val="0"/>
        <w:pageBreakBefore w:val="0"/>
        <w:widowControl w:val="0"/>
        <w:tabs>
          <w:tab w:val="left" w:pos="1800"/>
        </w:tabs>
        <w:kinsoku/>
        <w:wordWrap/>
        <w:overflowPunct/>
        <w:topLinePunct w:val="0"/>
        <w:autoSpaceDE/>
        <w:autoSpaceDN/>
        <w:bidi w:val="0"/>
        <w:adjustRightInd/>
        <w:snapToGrid/>
        <w:spacing w:line="460" w:lineRule="exact"/>
        <w:jc w:val="center"/>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cs="Times New Roman"/>
          <w:color w:val="auto"/>
          <w:sz w:val="24"/>
          <w:szCs w:val="24"/>
          <w:highlight w:val="none"/>
        </w:rPr>
        <w:t>表3-</w:t>
      </w: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snapToGrid w:val="0"/>
          <w:color w:val="auto"/>
          <w:kern w:val="21"/>
          <w:sz w:val="24"/>
          <w:szCs w:val="24"/>
          <w:highlight w:val="none"/>
        </w:rPr>
        <w:t xml:space="preserve"> 各回路</w:t>
      </w:r>
      <w:r>
        <w:rPr>
          <w:rFonts w:hint="default" w:ascii="Times New Roman" w:hAnsi="Times New Roman" w:eastAsia="宋体" w:cs="Times New Roman"/>
          <w:snapToGrid w:val="0"/>
          <w:color w:val="auto"/>
          <w:kern w:val="21"/>
          <w:sz w:val="24"/>
          <w:szCs w:val="24"/>
          <w:highlight w:val="none"/>
          <w:lang w:val="en-US" w:eastAsia="zh-CN"/>
        </w:rPr>
        <w:t>现状</w:t>
      </w:r>
      <w:r>
        <w:rPr>
          <w:rFonts w:hint="default" w:ascii="Times New Roman" w:hAnsi="Times New Roman" w:eastAsia="宋体" w:cs="Times New Roman"/>
          <w:snapToGrid w:val="0"/>
          <w:color w:val="auto"/>
          <w:kern w:val="21"/>
          <w:sz w:val="24"/>
          <w:szCs w:val="24"/>
          <w:highlight w:val="none"/>
        </w:rPr>
        <w:t>导体</w:t>
      </w:r>
      <w:r>
        <w:rPr>
          <w:rFonts w:hint="default" w:ascii="Times New Roman" w:hAnsi="Times New Roman" w:eastAsia="宋体" w:cs="Times New Roman"/>
          <w:snapToGrid w:val="0"/>
          <w:color w:val="auto"/>
          <w:kern w:val="21"/>
          <w:sz w:val="24"/>
          <w:szCs w:val="24"/>
          <w:highlight w:val="none"/>
          <w:lang w:val="en-US" w:eastAsia="zh-CN"/>
        </w:rPr>
        <w:t>及</w:t>
      </w:r>
      <w:r>
        <w:rPr>
          <w:rFonts w:hint="default" w:ascii="Times New Roman" w:hAnsi="Times New Roman" w:eastAsia="宋体" w:cs="Times New Roman"/>
          <w:snapToGrid w:val="0"/>
          <w:color w:val="auto"/>
          <w:kern w:val="21"/>
          <w:sz w:val="24"/>
          <w:szCs w:val="24"/>
          <w:highlight w:val="none"/>
        </w:rPr>
        <w:t xml:space="preserve">最大工作电流表    </w:t>
      </w:r>
    </w:p>
    <w:tbl>
      <w:tblPr>
        <w:tblStyle w:val="50"/>
        <w:tblW w:w="9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647"/>
        <w:gridCol w:w="1238"/>
        <w:gridCol w:w="2443"/>
        <w:gridCol w:w="1032"/>
        <w:gridCol w:w="1361"/>
        <w:gridCol w:w="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01" w:type="dxa"/>
            <w:vMerge w:val="restart"/>
            <w:tcBorders>
              <w:top w:val="single" w:color="auto" w:sz="12"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bookmarkStart w:id="225" w:name="_Toc2950"/>
            <w:r>
              <w:rPr>
                <w:rFonts w:hint="default" w:ascii="Times New Roman" w:hAnsi="Times New Roman" w:eastAsia="宋体" w:cs="Times New Roman"/>
                <w:color w:val="auto"/>
                <w:kern w:val="21"/>
                <w:sz w:val="24"/>
                <w:szCs w:val="24"/>
                <w:highlight w:val="none"/>
                <w:lang w:val="zh-CN"/>
              </w:rPr>
              <w:t>电压（kV）</w:t>
            </w:r>
          </w:p>
        </w:tc>
        <w:tc>
          <w:tcPr>
            <w:tcW w:w="1647" w:type="dxa"/>
            <w:vMerge w:val="restart"/>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回路名称</w:t>
            </w:r>
          </w:p>
        </w:tc>
        <w:tc>
          <w:tcPr>
            <w:tcW w:w="1238" w:type="dxa"/>
            <w:vMerge w:val="restart"/>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回路电流（A）</w:t>
            </w:r>
          </w:p>
        </w:tc>
        <w:tc>
          <w:tcPr>
            <w:tcW w:w="2443" w:type="dxa"/>
            <w:vMerge w:val="restart"/>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导线型号</w:t>
            </w:r>
          </w:p>
        </w:tc>
        <w:tc>
          <w:tcPr>
            <w:tcW w:w="2393" w:type="dxa"/>
            <w:gridSpan w:val="2"/>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载流量（A）</w:t>
            </w:r>
          </w:p>
        </w:tc>
        <w:tc>
          <w:tcPr>
            <w:tcW w:w="975" w:type="dxa"/>
            <w:vMerge w:val="restart"/>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zh-CN"/>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01"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p>
        </w:tc>
        <w:tc>
          <w:tcPr>
            <w:tcW w:w="123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p>
        </w:tc>
        <w:tc>
          <w:tcPr>
            <w:tcW w:w="24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sz w:val="24"/>
                <w:szCs w:val="24"/>
                <w:highlight w:val="none"/>
              </w:rPr>
              <w:t>25℃</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sz w:val="24"/>
                <w:szCs w:val="24"/>
                <w:highlight w:val="none"/>
              </w:rPr>
              <w:t>40℃</w:t>
            </w:r>
          </w:p>
        </w:tc>
        <w:tc>
          <w:tcPr>
            <w:tcW w:w="975" w:type="dxa"/>
            <w:vMerge w:val="continue"/>
            <w:tcBorders>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001"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1"/>
                <w:sz w:val="24"/>
                <w:szCs w:val="24"/>
                <w:highlight w:val="none"/>
              </w:rPr>
              <w:t>110</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1"/>
                <w:sz w:val="24"/>
                <w:szCs w:val="24"/>
                <w:highlight w:val="none"/>
                <w:lang w:val="zh-CN"/>
              </w:rPr>
              <w:t>母线</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315</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1"/>
                <w:sz w:val="24"/>
                <w:szCs w:val="24"/>
                <w:highlight w:val="none"/>
                <w:lang w:val="en-US" w:eastAsia="zh-CN"/>
              </w:rPr>
              <w:t>LGJ-185/25</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515</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21"/>
                <w:sz w:val="24"/>
                <w:szCs w:val="24"/>
                <w:highlight w:val="none"/>
                <w:lang w:val="en-US" w:eastAsia="zh-CN"/>
              </w:rPr>
              <w:t>417</w:t>
            </w:r>
          </w:p>
        </w:tc>
        <w:tc>
          <w:tcPr>
            <w:tcW w:w="97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01"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主变进线</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220/110</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eastAsia="zh-CN"/>
              </w:rPr>
            </w:pPr>
            <w:r>
              <w:rPr>
                <w:rFonts w:hint="default" w:ascii="Times New Roman" w:hAnsi="Times New Roman" w:eastAsia="宋体" w:cs="Times New Roman"/>
                <w:color w:val="auto"/>
                <w:kern w:val="21"/>
                <w:sz w:val="24"/>
                <w:szCs w:val="24"/>
                <w:highlight w:val="none"/>
                <w:lang w:val="en-US" w:eastAsia="zh-CN"/>
              </w:rPr>
              <w:t>LGJ-185/25</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eastAsia="zh-CN"/>
              </w:rPr>
            </w:pPr>
            <w:r>
              <w:rPr>
                <w:rFonts w:hint="default" w:ascii="Times New Roman" w:hAnsi="Times New Roman" w:eastAsia="宋体" w:cs="Times New Roman"/>
                <w:color w:val="auto"/>
                <w:kern w:val="21"/>
                <w:sz w:val="24"/>
                <w:szCs w:val="24"/>
                <w:highlight w:val="none"/>
                <w:lang w:val="en-US" w:eastAsia="zh-CN"/>
              </w:rPr>
              <w:t>515</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eastAsia="宋体" w:cs="Times New Roman"/>
                <w:color w:val="auto"/>
                <w:kern w:val="21"/>
                <w:sz w:val="24"/>
                <w:szCs w:val="24"/>
                <w:highlight w:val="none"/>
                <w:lang w:val="en-US" w:eastAsia="zh-CN"/>
              </w:rPr>
              <w:t>417</w:t>
            </w:r>
          </w:p>
        </w:tc>
        <w:tc>
          <w:tcPr>
            <w:tcW w:w="97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01"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出线</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eastAsia="宋体" w:cs="Times New Roman"/>
                <w:color w:val="auto"/>
                <w:kern w:val="21"/>
                <w:sz w:val="24"/>
                <w:szCs w:val="24"/>
                <w:highlight w:val="none"/>
                <w:lang w:val="en-US" w:eastAsia="zh-CN"/>
              </w:rPr>
              <w:t>315</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eastAsia="zh-CN"/>
              </w:rPr>
            </w:pPr>
            <w:r>
              <w:rPr>
                <w:rFonts w:hint="default" w:ascii="Times New Roman" w:hAnsi="Times New Roman" w:eastAsia="宋体" w:cs="Times New Roman"/>
                <w:color w:val="auto"/>
                <w:kern w:val="21"/>
                <w:sz w:val="24"/>
                <w:szCs w:val="24"/>
                <w:highlight w:val="none"/>
                <w:lang w:val="en-US" w:eastAsia="zh-CN"/>
              </w:rPr>
              <w:t>LGJ-185/25</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eastAsia="宋体" w:cs="Times New Roman"/>
                <w:color w:val="auto"/>
                <w:kern w:val="21"/>
                <w:sz w:val="24"/>
                <w:szCs w:val="24"/>
                <w:highlight w:val="none"/>
                <w:lang w:val="en-US" w:eastAsia="zh-CN"/>
              </w:rPr>
              <w:t>515</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val="en-US" w:eastAsia="zh-CN"/>
              </w:rPr>
              <w:t>417</w:t>
            </w:r>
          </w:p>
        </w:tc>
        <w:tc>
          <w:tcPr>
            <w:tcW w:w="97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1001"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10</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zh-CN"/>
              </w:rPr>
              <w:t>主变进线</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eastAsia="zh-CN"/>
              </w:rPr>
            </w:pPr>
            <w:r>
              <w:rPr>
                <w:rFonts w:hint="default" w:ascii="Times New Roman" w:hAnsi="Times New Roman" w:cs="Times New Roman"/>
                <w:color w:val="auto"/>
                <w:sz w:val="24"/>
                <w:szCs w:val="24"/>
                <w:highlight w:val="none"/>
                <w:lang w:val="en-US" w:eastAsia="zh-CN"/>
              </w:rPr>
              <w:t>2425</w:t>
            </w:r>
            <w:r>
              <w:rPr>
                <w:rFonts w:hint="default" w:ascii="Times New Roman" w:hAnsi="Times New Roman" w:eastAsia="宋体" w:cs="Times New Roman"/>
                <w:color w:val="auto"/>
                <w:kern w:val="21"/>
                <w:sz w:val="24"/>
                <w:szCs w:val="24"/>
                <w:highlight w:val="none"/>
                <w:lang w:val="en-US" w:eastAsia="zh-CN"/>
              </w:rPr>
              <w:t>/</w:t>
            </w:r>
            <w:r>
              <w:rPr>
                <w:rFonts w:hint="default" w:ascii="Times New Roman" w:hAnsi="Times New Roman" w:cs="Times New Roman"/>
                <w:color w:val="auto"/>
                <w:sz w:val="24"/>
                <w:szCs w:val="24"/>
                <w:highlight w:val="none"/>
                <w:lang w:val="en-US" w:eastAsia="zh-CN"/>
              </w:rPr>
              <w:t>1212</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TMY-1</w:t>
            </w:r>
            <w:r>
              <w:rPr>
                <w:rFonts w:hint="default" w:ascii="Times New Roman" w:hAnsi="Times New Roman" w:cs="Times New Roman"/>
                <w:snapToGrid w:val="0"/>
                <w:color w:val="auto"/>
                <w:kern w:val="21"/>
                <w:sz w:val="24"/>
                <w:szCs w:val="24"/>
                <w:highlight w:val="none"/>
                <w:lang w:val="en-US" w:eastAsia="zh-CN"/>
              </w:rPr>
              <w:t>00</w:t>
            </w:r>
            <w:r>
              <w:rPr>
                <w:rFonts w:hint="default" w:ascii="Times New Roman" w:hAnsi="Times New Roman" w:cs="Times New Roman"/>
                <w:snapToGrid w:val="0"/>
                <w:color w:val="auto"/>
                <w:kern w:val="21"/>
                <w:sz w:val="24"/>
                <w:szCs w:val="24"/>
                <w:highlight w:val="none"/>
              </w:rPr>
              <w:t>×10</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eastAsia="宋体" w:cs="Times New Roman"/>
                <w:color w:val="auto"/>
                <w:kern w:val="21"/>
                <w:sz w:val="24"/>
                <w:szCs w:val="24"/>
                <w:highlight w:val="none"/>
                <w:lang w:val="en-US" w:eastAsia="zh-CN"/>
              </w:rPr>
              <w:t>2195</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eastAsia="宋体" w:cs="Times New Roman"/>
                <w:color w:val="auto"/>
                <w:kern w:val="21"/>
                <w:sz w:val="24"/>
                <w:szCs w:val="24"/>
                <w:highlight w:val="none"/>
                <w:lang w:val="en-US" w:eastAsia="zh-CN"/>
              </w:rPr>
              <w:t>1778</w:t>
            </w:r>
          </w:p>
        </w:tc>
        <w:tc>
          <w:tcPr>
            <w:tcW w:w="97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1#主进母线桥不满足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1001"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电容器回路</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285/</w:t>
            </w:r>
            <w:r>
              <w:rPr>
                <w:rFonts w:hint="default" w:ascii="Times New Roman" w:hAnsi="Times New Roman" w:cs="Times New Roman"/>
                <w:color w:val="auto"/>
                <w:sz w:val="24"/>
                <w:szCs w:val="24"/>
                <w:highlight w:val="none"/>
                <w:lang w:val="en-US" w:eastAsia="zh-CN"/>
              </w:rPr>
              <w:t>225/</w:t>
            </w:r>
            <w:r>
              <w:rPr>
                <w:rFonts w:hint="default" w:ascii="Times New Roman" w:hAnsi="Times New Roman" w:eastAsia="宋体" w:cs="Times New Roman"/>
                <w:snapToGrid w:val="0"/>
                <w:color w:val="auto"/>
                <w:kern w:val="21"/>
                <w:sz w:val="24"/>
                <w:szCs w:val="24"/>
                <w:highlight w:val="none"/>
                <w:lang w:val="en-US" w:eastAsia="zh-CN"/>
              </w:rPr>
              <w:t>360</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ZR-YJV22-8.7/15</w:t>
            </w:r>
            <w:r>
              <w:rPr>
                <w:rFonts w:hint="default" w:ascii="Times New Roman" w:hAnsi="Times New Roman" w:eastAsia="宋体" w:cs="Times New Roman"/>
                <w:b w:val="0"/>
                <w:bCs w:val="0"/>
                <w:color w:val="auto"/>
                <w:kern w:val="0"/>
                <w:sz w:val="24"/>
                <w:szCs w:val="24"/>
                <w:highlight w:val="none"/>
              </w:rPr>
              <w:t>kV-3×240</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464</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376</w:t>
            </w:r>
          </w:p>
        </w:tc>
        <w:tc>
          <w:tcPr>
            <w:tcW w:w="97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001" w:type="dxa"/>
            <w:tcBorders>
              <w:top w:val="single" w:color="auto" w:sz="4" w:space="0"/>
              <w:left w:val="single" w:color="auto" w:sz="12" w:space="0"/>
              <w:bottom w:val="single" w:color="auto" w:sz="12"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zh-CN"/>
              </w:rPr>
            </w:pPr>
          </w:p>
        </w:tc>
        <w:tc>
          <w:tcPr>
            <w:tcW w:w="1647"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kern w:val="21"/>
                <w:sz w:val="24"/>
                <w:szCs w:val="24"/>
                <w:highlight w:val="none"/>
              </w:rPr>
              <w:t>站用</w:t>
            </w:r>
            <w:r>
              <w:rPr>
                <w:rFonts w:hint="default" w:ascii="Times New Roman" w:hAnsi="Times New Roman" w:eastAsia="宋体" w:cs="Times New Roman"/>
                <w:color w:val="auto"/>
                <w:kern w:val="21"/>
                <w:sz w:val="24"/>
                <w:szCs w:val="24"/>
                <w:highlight w:val="none"/>
                <w:lang w:val="zh-CN"/>
              </w:rPr>
              <w:t>变回路</w:t>
            </w:r>
          </w:p>
        </w:tc>
        <w:tc>
          <w:tcPr>
            <w:tcW w:w="1238"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5.8</w:t>
            </w:r>
          </w:p>
        </w:tc>
        <w:tc>
          <w:tcPr>
            <w:tcW w:w="2443"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ZR-</w:t>
            </w:r>
            <w:r>
              <w:rPr>
                <w:rFonts w:hint="default" w:ascii="Times New Roman" w:hAnsi="Times New Roman" w:eastAsia="宋体" w:cs="Times New Roman"/>
                <w:color w:val="auto"/>
                <w:kern w:val="21"/>
                <w:sz w:val="24"/>
                <w:szCs w:val="24"/>
                <w:highlight w:val="none"/>
                <w:lang w:val="zh-CN"/>
              </w:rPr>
              <w:t>YJV22-8.7/15kV-3×120</w:t>
            </w:r>
          </w:p>
        </w:tc>
        <w:tc>
          <w:tcPr>
            <w:tcW w:w="1032"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277</w:t>
            </w:r>
          </w:p>
        </w:tc>
        <w:tc>
          <w:tcPr>
            <w:tcW w:w="1361"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224</w:t>
            </w:r>
          </w:p>
        </w:tc>
        <w:tc>
          <w:tcPr>
            <w:tcW w:w="975" w:type="dxa"/>
            <w:tcBorders>
              <w:top w:val="single" w:color="auto" w:sz="4" w:space="0"/>
              <w:left w:val="single" w:color="auto" w:sz="4" w:space="0"/>
              <w:bottom w:val="single" w:color="auto" w:sz="12" w:space="0"/>
              <w:right w:val="single" w:color="auto" w:sz="12"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满足</w:t>
            </w:r>
          </w:p>
        </w:tc>
      </w:tr>
    </w:tbl>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（2）本期：</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240" w:firstLineChars="100"/>
        <w:jc w:val="left"/>
        <w:textAlignment w:val="auto"/>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en-US" w:eastAsia="zh-CN"/>
        </w:rPr>
        <w:t xml:space="preserve">  a.</w:t>
      </w:r>
      <w:r>
        <w:rPr>
          <w:rFonts w:hint="default" w:ascii="Times New Roman" w:hAnsi="Times New Roman" w:eastAsia="宋体" w:cs="Times New Roman"/>
          <w:color w:val="auto"/>
          <w:kern w:val="21"/>
          <w:sz w:val="24"/>
          <w:szCs w:val="24"/>
          <w:highlight w:val="none"/>
          <w:lang w:val="zh-CN"/>
        </w:rPr>
        <w:t>主变压器：</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更换的1#</w:t>
      </w:r>
      <w:r>
        <w:rPr>
          <w:rFonts w:hint="default" w:ascii="Times New Roman" w:hAnsi="Times New Roman" w:eastAsia="宋体" w:cs="Times New Roman"/>
          <w:color w:val="auto"/>
          <w:sz w:val="24"/>
          <w:szCs w:val="24"/>
          <w:highlight w:val="none"/>
        </w:rPr>
        <w:t>主变选用SZ11型三相</w:t>
      </w:r>
      <w:r>
        <w:rPr>
          <w:rFonts w:hint="default" w:ascii="Times New Roman" w:hAnsi="Times New Roman" w:eastAsia="宋体" w:cs="Times New Roman"/>
          <w:color w:val="auto"/>
          <w:sz w:val="24"/>
          <w:szCs w:val="24"/>
          <w:highlight w:val="none"/>
          <w:lang w:val="en-US" w:eastAsia="zh-CN"/>
        </w:rPr>
        <w:t>双</w:t>
      </w:r>
      <w:r>
        <w:rPr>
          <w:rFonts w:hint="default" w:ascii="Times New Roman" w:hAnsi="Times New Roman" w:eastAsia="宋体" w:cs="Times New Roman"/>
          <w:color w:val="auto"/>
          <w:sz w:val="24"/>
          <w:szCs w:val="24"/>
          <w:highlight w:val="none"/>
        </w:rPr>
        <w:t>绕组自冷有载调压变压器，选择结果见表</w:t>
      </w:r>
      <w:r>
        <w:rPr>
          <w:rFonts w:hint="default" w:ascii="Times New Roman" w:hAnsi="Times New Roman" w:eastAsia="宋体"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rPr>
        <w:t>：</w:t>
      </w:r>
    </w:p>
    <w:p>
      <w:pPr>
        <w:keepNext w:val="0"/>
        <w:keepLines w:val="0"/>
        <w:pageBreakBefore w:val="0"/>
        <w:widowControl w:val="0"/>
        <w:tabs>
          <w:tab w:val="left" w:pos="1800"/>
        </w:tabs>
        <w:kinsoku/>
        <w:wordWrap/>
        <w:overflowPunct/>
        <w:topLinePunct w:val="0"/>
        <w:autoSpaceDE/>
        <w:autoSpaceDN/>
        <w:bidi w:val="0"/>
        <w:adjustRightInd/>
        <w:snapToGrid/>
        <w:spacing w:line="4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表</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 xml:space="preserve"> 主变压器参数表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6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Borders>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tc>
        <w:tc>
          <w:tcPr>
            <w:tcW w:w="6637" w:type="dxa"/>
            <w:tcBorders>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型号</w:t>
            </w:r>
          </w:p>
        </w:tc>
        <w:tc>
          <w:tcPr>
            <w:tcW w:w="663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SZ11-40000/110</w:t>
            </w:r>
            <w:r>
              <w:rPr>
                <w:rFonts w:hint="default" w:ascii="Times New Roman" w:hAnsi="Times New Roman" w:cs="Times New Roman"/>
                <w:snapToGrid w:val="0"/>
                <w:color w:val="auto"/>
                <w:kern w:val="21"/>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容量比</w:t>
            </w:r>
          </w:p>
        </w:tc>
        <w:tc>
          <w:tcPr>
            <w:tcW w:w="6637" w:type="dxa"/>
            <w:tcBorders>
              <w:top w:val="single" w:color="auto" w:sz="4" w:space="0"/>
              <w:bottom w:val="single" w:color="auto" w:sz="4" w:space="0"/>
            </w:tcBorders>
            <w:noWrap w:val="0"/>
            <w:vAlign w:val="center"/>
          </w:tcPr>
          <w:p>
            <w:pPr>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rPr>
              <w:t>000/</w:t>
            </w:r>
            <w:r>
              <w:rPr>
                <w:rFonts w:hint="default" w:ascii="Times New Roman" w:hAnsi="Times New Roman" w:eastAsia="宋体"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rPr>
              <w:t>000kVA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额定电压</w:t>
            </w:r>
          </w:p>
        </w:tc>
        <w:tc>
          <w:tcPr>
            <w:tcW w:w="6637" w:type="dxa"/>
            <w:tcBorders>
              <w:top w:val="single" w:color="auto" w:sz="4" w:space="0"/>
              <w:bottom w:val="single" w:color="auto" w:sz="4" w:space="0"/>
            </w:tcBorders>
            <w:noWrap w:val="0"/>
            <w:vAlign w:val="center"/>
          </w:tcPr>
          <w:p>
            <w:pPr>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110±8×1.25%/10.5kV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接线组别</w:t>
            </w:r>
          </w:p>
        </w:tc>
        <w:tc>
          <w:tcPr>
            <w:tcW w:w="6637" w:type="dxa"/>
            <w:tcBorders>
              <w:top w:val="single" w:color="auto" w:sz="4" w:space="0"/>
              <w:bottom w:val="single" w:color="auto" w:sz="4" w:space="0"/>
            </w:tcBorders>
            <w:noWrap w:val="0"/>
            <w:vAlign w:val="center"/>
          </w:tcPr>
          <w:p>
            <w:pPr>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YN，d11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Borders>
              <w:top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阻抗电压</w:t>
            </w:r>
          </w:p>
        </w:tc>
        <w:tc>
          <w:tcPr>
            <w:tcW w:w="6637" w:type="dxa"/>
            <w:tcBorders>
              <w:top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Ud%=1</w:t>
            </w:r>
            <w:r>
              <w:rPr>
                <w:rFonts w:hint="default" w:ascii="Times New Roman" w:hAnsi="Times New Roman" w:eastAsia="宋体" w:cs="Times New Roman"/>
                <w:color w:val="auto"/>
                <w:sz w:val="24"/>
                <w:szCs w:val="24"/>
                <w:highlight w:val="none"/>
                <w:lang w:val="en-US" w:eastAsia="zh-CN"/>
              </w:rPr>
              <w:t>2</w:t>
            </w:r>
          </w:p>
        </w:tc>
      </w:tr>
    </w:tbl>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4"/>
          <w:sz w:val="24"/>
          <w:szCs w:val="24"/>
          <w:highlight w:val="none"/>
          <w:lang w:val="en-US" w:eastAsia="zh-CN"/>
        </w:rPr>
        <w:t>本期新上1#主变与2#主变电压等级、接线组别相同，阻抗电压百分比相近，可以并列运行</w:t>
      </w:r>
      <w:r>
        <w:rPr>
          <w:rFonts w:hint="default" w:ascii="Times New Roman" w:hAnsi="Times New Roman" w:cs="Times New Roman"/>
          <w:color w:val="auto"/>
          <w:sz w:val="24"/>
          <w:szCs w:val="24"/>
          <w:highlight w:val="none"/>
          <w:lang w:val="zh-CN" w:eastAsia="zh-CN" w:bidi="ar-SA"/>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en-US" w:eastAsia="zh-CN"/>
        </w:rPr>
        <w:t>b.</w:t>
      </w:r>
      <w:r>
        <w:rPr>
          <w:rFonts w:hint="default" w:ascii="Times New Roman" w:hAnsi="Times New Roman" w:eastAsia="宋体" w:cs="Times New Roman"/>
          <w:color w:val="auto"/>
          <w:kern w:val="21"/>
          <w:sz w:val="24"/>
          <w:szCs w:val="24"/>
          <w:highlight w:val="none"/>
          <w:lang w:val="zh-CN"/>
        </w:rPr>
        <w:t>110kV配电装置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color w:val="auto"/>
          <w:kern w:val="4"/>
          <w:sz w:val="24"/>
          <w:szCs w:val="24"/>
          <w:highlight w:val="none"/>
          <w:lang w:val="en-US" w:eastAsia="zh-CN"/>
        </w:rPr>
      </w:pPr>
      <w:r>
        <w:rPr>
          <w:rFonts w:hint="default" w:ascii="Times New Roman" w:hAnsi="Times New Roman" w:eastAsia="宋体" w:cs="Times New Roman"/>
          <w:color w:val="auto"/>
          <w:kern w:val="21"/>
          <w:sz w:val="24"/>
          <w:szCs w:val="24"/>
          <w:highlight w:val="none"/>
          <w:lang w:val="zh-CN"/>
        </w:rPr>
        <w:t>本站110kV配电装置采用户外AIS</w:t>
      </w:r>
      <w:r>
        <w:rPr>
          <w:rFonts w:hint="default" w:ascii="Times New Roman" w:hAnsi="Times New Roman" w:eastAsia="宋体" w:cs="Times New Roman"/>
          <w:color w:val="auto"/>
          <w:sz w:val="24"/>
          <w:szCs w:val="24"/>
          <w:highlight w:val="none"/>
          <w:lang w:val="en-US" w:eastAsia="zh-CN"/>
        </w:rPr>
        <w:t>普通中型布置</w:t>
      </w:r>
      <w:r>
        <w:rPr>
          <w:rFonts w:hint="default" w:ascii="Times New Roman" w:hAnsi="Times New Roman" w:eastAsia="宋体" w:cs="Times New Roman"/>
          <w:color w:val="auto"/>
          <w:kern w:val="21"/>
          <w:sz w:val="24"/>
          <w:szCs w:val="24"/>
          <w:highlight w:val="none"/>
          <w:lang w:val="zh-CN"/>
        </w:rPr>
        <w:t>，</w:t>
      </w:r>
      <w:r>
        <w:rPr>
          <w:rFonts w:hint="default" w:ascii="Times New Roman" w:hAnsi="Times New Roman" w:eastAsia="宋体" w:cs="Times New Roman"/>
          <w:color w:val="auto"/>
          <w:kern w:val="21"/>
          <w:sz w:val="24"/>
          <w:szCs w:val="24"/>
          <w:highlight w:val="none"/>
          <w:lang w:val="en-US" w:eastAsia="zh-CN"/>
        </w:rPr>
        <w:t>本期</w:t>
      </w:r>
      <w:r>
        <w:rPr>
          <w:rFonts w:hint="default" w:ascii="Times New Roman" w:hAnsi="Times New Roman" w:cs="Times New Roman"/>
          <w:color w:val="auto"/>
          <w:kern w:val="21"/>
          <w:sz w:val="24"/>
          <w:szCs w:val="24"/>
          <w:highlight w:val="none"/>
          <w:lang w:val="en-US" w:eastAsia="zh-CN"/>
        </w:rPr>
        <w:t>更换出线间隔电流互感器及两侧引线，</w:t>
      </w:r>
      <w:r>
        <w:rPr>
          <w:rFonts w:hint="default" w:ascii="Times New Roman" w:hAnsi="Times New Roman" w:cs="Times New Roman"/>
          <w:color w:val="auto"/>
          <w:kern w:val="21"/>
          <w:sz w:val="24"/>
          <w:szCs w:val="24"/>
          <w:highlight w:val="none"/>
        </w:rPr>
        <w:t>更换</w:t>
      </w:r>
      <w:r>
        <w:rPr>
          <w:rFonts w:hint="default" w:ascii="Times New Roman" w:hAnsi="Times New Roman" w:cs="Times New Roman"/>
          <w:color w:val="auto"/>
          <w:kern w:val="21"/>
          <w:sz w:val="24"/>
          <w:szCs w:val="24"/>
          <w:highlight w:val="none"/>
          <w:lang w:val="en-US" w:eastAsia="zh-CN"/>
        </w:rPr>
        <w:t>1</w:t>
      </w:r>
      <w:r>
        <w:rPr>
          <w:rFonts w:hint="default" w:ascii="Times New Roman" w:hAnsi="Times New Roman" w:cs="Times New Roman"/>
          <w:color w:val="auto"/>
          <w:kern w:val="21"/>
          <w:sz w:val="24"/>
          <w:szCs w:val="24"/>
          <w:highlight w:val="none"/>
        </w:rPr>
        <w:t>#主变进线</w:t>
      </w:r>
      <w:r>
        <w:rPr>
          <w:rFonts w:hint="default" w:ascii="Times New Roman" w:hAnsi="Times New Roman" w:cs="Times New Roman"/>
          <w:color w:val="auto"/>
          <w:kern w:val="21"/>
          <w:sz w:val="24"/>
          <w:szCs w:val="24"/>
          <w:highlight w:val="none"/>
          <w:lang w:val="en-US" w:eastAsia="zh-CN"/>
        </w:rPr>
        <w:t>引线，</w:t>
      </w:r>
      <w:r>
        <w:rPr>
          <w:rFonts w:hint="default" w:ascii="Times New Roman" w:hAnsi="Times New Roman" w:eastAsia="宋体" w:cs="Times New Roman"/>
          <w:snapToGrid w:val="0"/>
          <w:color w:val="auto"/>
          <w:kern w:val="21"/>
          <w:sz w:val="24"/>
          <w:szCs w:val="24"/>
          <w:highlight w:val="none"/>
          <w:lang w:val="zh-CN"/>
        </w:rPr>
        <w:t>根据通用设备标准参数选择，</w:t>
      </w:r>
      <w:r>
        <w:rPr>
          <w:rFonts w:hint="default" w:ascii="Times New Roman" w:hAnsi="Times New Roman" w:eastAsia="宋体" w:cs="Times New Roman"/>
          <w:color w:val="auto"/>
          <w:kern w:val="21"/>
          <w:sz w:val="24"/>
          <w:szCs w:val="24"/>
          <w:highlight w:val="none"/>
        </w:rPr>
        <w:t>110k</w:t>
      </w:r>
      <w:r>
        <w:rPr>
          <w:rFonts w:hint="default" w:ascii="Times New Roman" w:hAnsi="Times New Roman" w:eastAsia="宋体" w:cs="Times New Roman"/>
          <w:color w:val="auto"/>
          <w:kern w:val="4"/>
          <w:sz w:val="24"/>
          <w:szCs w:val="24"/>
          <w:highlight w:val="none"/>
          <w:lang w:val="en-US" w:eastAsia="zh-CN"/>
        </w:rPr>
        <w:t>V主要设备选择见表3-7。</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baseline"/>
        <w:rPr>
          <w:rFonts w:hint="default" w:ascii="Times New Roman" w:hAnsi="Times New Roman" w:eastAsia="宋体" w:cs="Times New Roman"/>
          <w:color w:val="auto"/>
          <w:kern w:val="4"/>
          <w:sz w:val="24"/>
          <w:szCs w:val="24"/>
          <w:highlight w:val="none"/>
          <w:lang w:val="en-US" w:eastAsia="zh-CN"/>
        </w:rPr>
      </w:pPr>
      <w:r>
        <w:rPr>
          <w:rFonts w:hint="default" w:ascii="Times New Roman" w:hAnsi="Times New Roman" w:eastAsia="宋体" w:cs="Times New Roman"/>
          <w:color w:val="auto"/>
          <w:kern w:val="4"/>
          <w:sz w:val="24"/>
          <w:szCs w:val="24"/>
          <w:highlight w:val="none"/>
          <w:lang w:val="en-US" w:eastAsia="zh-CN"/>
        </w:rPr>
        <w:t>表3-7 110kV主要电气设备参数表</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3936"/>
        <w:gridCol w:w="1960"/>
        <w:gridCol w:w="1354"/>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设备</w:t>
            </w:r>
          </w:p>
        </w:tc>
        <w:tc>
          <w:tcPr>
            <w:tcW w:w="393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主要参数</w:t>
            </w:r>
          </w:p>
          <w:p>
            <w:pPr>
              <w:adjustRightInd w:val="0"/>
              <w:snapToGrid w:val="0"/>
              <w:jc w:val="center"/>
              <w:rPr>
                <w:rFonts w:hint="default" w:ascii="Times New Roman" w:hAnsi="Times New Roman" w:cs="Times New Roman"/>
                <w:color w:val="auto"/>
                <w:sz w:val="24"/>
                <w:szCs w:val="24"/>
                <w:highlight w:val="none"/>
              </w:rPr>
            </w:pPr>
          </w:p>
        </w:tc>
        <w:tc>
          <w:tcPr>
            <w:tcW w:w="196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最大工作电流（A）</w:t>
            </w:r>
          </w:p>
        </w:tc>
        <w:tc>
          <w:tcPr>
            <w:tcW w:w="1354"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短路电流（kA）</w:t>
            </w:r>
          </w:p>
        </w:tc>
        <w:tc>
          <w:tcPr>
            <w:tcW w:w="72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电流互感器（出线）</w:t>
            </w:r>
          </w:p>
        </w:tc>
        <w:tc>
          <w:tcPr>
            <w:tcW w:w="3936" w:type="dxa"/>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变比：2×400/5</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准确级5P30/5P30/5P30/0.5/0.2S   容量30/30/30/30/30VA   </w:t>
            </w:r>
          </w:p>
        </w:tc>
        <w:tc>
          <w:tcPr>
            <w:tcW w:w="196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w:t>
            </w:r>
            <w:r>
              <w:rPr>
                <w:rFonts w:hint="default" w:ascii="Times New Roman" w:hAnsi="Times New Roman" w:cs="Times New Roman"/>
                <w:color w:val="auto"/>
                <w:sz w:val="24"/>
                <w:szCs w:val="24"/>
                <w:highlight w:val="none"/>
                <w:lang w:val="en-US" w:eastAsia="zh-CN"/>
              </w:rPr>
              <w:t>315</w:t>
            </w:r>
            <w:r>
              <w:rPr>
                <w:rFonts w:hint="default" w:ascii="Times New Roman" w:hAnsi="Times New Roman" w:cs="Times New Roman"/>
                <w:color w:val="auto"/>
                <w:sz w:val="24"/>
                <w:szCs w:val="24"/>
                <w:highlight w:val="none"/>
              </w:rPr>
              <w:t>A</w:t>
            </w:r>
          </w:p>
        </w:tc>
        <w:tc>
          <w:tcPr>
            <w:tcW w:w="1354"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间隔内导线</w:t>
            </w:r>
          </w:p>
        </w:tc>
        <w:tc>
          <w:tcPr>
            <w:tcW w:w="3936" w:type="dxa"/>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电流互感器两侧连线：LGJ-300/25</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 xml:space="preserve">1#主变进线引线：LGJ-300/25 </w:t>
            </w:r>
          </w:p>
        </w:tc>
        <w:tc>
          <w:tcPr>
            <w:tcW w:w="1960" w:type="dxa"/>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出线：315A</w:t>
            </w:r>
          </w:p>
          <w:p>
            <w:pPr>
              <w:adjustRightInd w:val="0"/>
              <w:snapToGrid w:val="0"/>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1#主变进线：220</w:t>
            </w:r>
          </w:p>
        </w:tc>
        <w:tc>
          <w:tcPr>
            <w:tcW w:w="1354"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13.32</w:t>
            </w:r>
            <w:r>
              <w:rPr>
                <w:rFonts w:hint="default" w:ascii="Times New Roman" w:hAnsi="Times New Roman" w:cs="Times New Roman"/>
                <w:color w:val="auto"/>
                <w:sz w:val="24"/>
                <w:szCs w:val="24"/>
                <w:highlight w:val="none"/>
              </w:rPr>
              <w:t>kA</w:t>
            </w:r>
          </w:p>
        </w:tc>
        <w:tc>
          <w:tcPr>
            <w:tcW w:w="726" w:type="dxa"/>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w:t>
            </w:r>
          </w:p>
        </w:tc>
      </w:tr>
    </w:tbl>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auto"/>
          <w:kern w:val="21"/>
          <w:sz w:val="24"/>
          <w:szCs w:val="24"/>
          <w:highlight w:val="none"/>
          <w:lang w:val="zh-CN"/>
        </w:rPr>
      </w:pPr>
      <w:r>
        <w:rPr>
          <w:rFonts w:hint="default" w:ascii="Times New Roman" w:hAnsi="Times New Roman" w:eastAsia="宋体" w:cs="Times New Roman"/>
          <w:color w:val="auto"/>
          <w:kern w:val="21"/>
          <w:sz w:val="24"/>
          <w:szCs w:val="24"/>
          <w:highlight w:val="none"/>
          <w:lang w:val="en-US" w:eastAsia="zh-CN"/>
        </w:rPr>
        <w:t>c.</w:t>
      </w:r>
      <w:r>
        <w:rPr>
          <w:rFonts w:hint="default" w:ascii="Times New Roman" w:hAnsi="Times New Roman" w:eastAsia="宋体" w:cs="Times New Roman"/>
          <w:color w:val="auto"/>
          <w:kern w:val="21"/>
          <w:sz w:val="24"/>
          <w:szCs w:val="24"/>
          <w:highlight w:val="none"/>
        </w:rPr>
        <w:t>10</w:t>
      </w:r>
      <w:r>
        <w:rPr>
          <w:rFonts w:hint="default" w:ascii="Times New Roman" w:hAnsi="Times New Roman" w:eastAsia="宋体" w:cs="Times New Roman"/>
          <w:color w:val="auto"/>
          <w:kern w:val="21"/>
          <w:sz w:val="24"/>
          <w:szCs w:val="24"/>
          <w:highlight w:val="none"/>
          <w:lang w:val="zh-CN"/>
        </w:rPr>
        <w:t>kV配电装置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高压开关柜</w:t>
      </w:r>
    </w:p>
    <w:p>
      <w:pPr>
        <w:keepNext w:val="0"/>
        <w:keepLines w:val="0"/>
        <w:pageBreakBefore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 xml:space="preserve">    本期：</w:t>
      </w:r>
      <w:r>
        <w:rPr>
          <w:rFonts w:hint="default" w:ascii="Times New Roman" w:hAnsi="Times New Roman" w:eastAsia="宋体" w:cs="Times New Roman"/>
          <w:color w:val="auto"/>
          <w:sz w:val="24"/>
          <w:szCs w:val="24"/>
          <w:highlight w:val="none"/>
          <w:lang w:val="en-US" w:eastAsia="zh-CN"/>
        </w:rPr>
        <w:t>拆除1#站用变，在此位置新增3#电容器柜，更换1#主进柜，更换出线柜2台，更换10kV1#主进母线桥，更换10kV东母南北跨桥。</w:t>
      </w:r>
      <w:r>
        <w:rPr>
          <w:rFonts w:hint="default" w:ascii="Times New Roman" w:hAnsi="Times New Roman" w:cs="Times New Roman"/>
          <w:color w:val="auto"/>
          <w:kern w:val="21"/>
          <w:sz w:val="24"/>
          <w:szCs w:val="24"/>
          <w:highlight w:val="none"/>
          <w:lang w:val="en-US" w:eastAsia="zh-CN"/>
        </w:rPr>
        <w:t>新增</w:t>
      </w:r>
      <w:r>
        <w:rPr>
          <w:rFonts w:hint="default" w:ascii="Times New Roman" w:hAnsi="Times New Roman" w:cs="Times New Roman"/>
          <w:color w:val="auto"/>
          <w:kern w:val="21"/>
          <w:sz w:val="24"/>
          <w:szCs w:val="24"/>
          <w:highlight w:val="none"/>
          <w:lang w:val="zh-CN"/>
        </w:rPr>
        <w:t>3只10kV避雷器</w:t>
      </w:r>
      <w:r>
        <w:rPr>
          <w:rFonts w:hint="default" w:ascii="Times New Roman" w:hAnsi="Times New Roman" w:cs="Times New Roman"/>
          <w:color w:val="auto"/>
          <w:kern w:val="21"/>
          <w:sz w:val="24"/>
          <w:szCs w:val="24"/>
          <w:highlight w:val="none"/>
          <w:lang w:val="en-US" w:eastAsia="zh-CN"/>
        </w:rPr>
        <w:t>，开关柜</w:t>
      </w:r>
      <w:r>
        <w:rPr>
          <w:rFonts w:hint="default" w:ascii="Times New Roman" w:hAnsi="Times New Roman" w:cs="Times New Roman"/>
          <w:color w:val="auto"/>
          <w:kern w:val="21"/>
          <w:sz w:val="24"/>
          <w:szCs w:val="24"/>
          <w:highlight w:val="none"/>
        </w:rPr>
        <w:t>采用户内金属铠装全封闭手车式KYN28-12型开关柜，选用真空断路器。10kV主要设备选择见表3-</w:t>
      </w:r>
      <w:r>
        <w:rPr>
          <w:rFonts w:hint="default" w:ascii="Times New Roman" w:hAnsi="Times New Roman" w:cs="Times New Roman"/>
          <w:color w:val="auto"/>
          <w:kern w:val="21"/>
          <w:sz w:val="24"/>
          <w:szCs w:val="24"/>
          <w:highlight w:val="none"/>
          <w:lang w:val="en-US" w:eastAsia="zh-CN"/>
        </w:rPr>
        <w:t>8</w:t>
      </w:r>
      <w:r>
        <w:rPr>
          <w:rFonts w:hint="default" w:ascii="Times New Roman" w:hAnsi="Times New Roman" w:cs="Times New Roman"/>
          <w:color w:val="auto"/>
          <w:kern w:val="21"/>
          <w:sz w:val="24"/>
          <w:szCs w:val="24"/>
          <w:highlight w:val="none"/>
        </w:rPr>
        <w:t>。</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表3-</w:t>
      </w:r>
      <w:r>
        <w:rPr>
          <w:rFonts w:hint="default" w:ascii="Times New Roman" w:hAnsi="Times New Roman" w:cs="Times New Roman"/>
          <w:color w:val="auto"/>
          <w:kern w:val="21"/>
          <w:sz w:val="24"/>
          <w:szCs w:val="24"/>
          <w:highlight w:val="none"/>
          <w:lang w:val="en-US" w:eastAsia="zh-CN"/>
        </w:rPr>
        <w:t>8</w:t>
      </w:r>
      <w:r>
        <w:rPr>
          <w:rFonts w:hint="default" w:ascii="Times New Roman" w:hAnsi="Times New Roman" w:cs="Times New Roman"/>
          <w:color w:val="auto"/>
          <w:kern w:val="21"/>
          <w:sz w:val="24"/>
          <w:szCs w:val="24"/>
          <w:highlight w:val="none"/>
        </w:rPr>
        <w:t xml:space="preserve">  10kV主要电气设备技术参数选择表</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主要</w:t>
            </w:r>
          </w:p>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设备</w:t>
            </w:r>
          </w:p>
        </w:tc>
        <w:tc>
          <w:tcPr>
            <w:tcW w:w="7681" w:type="dxa"/>
            <w:tcBorders>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主要参数</w:t>
            </w:r>
          </w:p>
          <w:p>
            <w:pPr>
              <w:adjustRightInd w:val="0"/>
              <w:snapToGrid w:val="0"/>
              <w:jc w:val="center"/>
              <w:rPr>
                <w:rFonts w:hint="default" w:ascii="Times New Roman" w:hAnsi="Times New Roman"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断路器</w:t>
            </w:r>
          </w:p>
        </w:tc>
        <w:tc>
          <w:tcPr>
            <w:tcW w:w="7681"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kern w:val="2"/>
                <w:sz w:val="24"/>
                <w:szCs w:val="24"/>
                <w:highlight w:val="none"/>
                <w:lang w:val="en-US" w:eastAsia="zh-CN"/>
              </w:rPr>
            </w:pPr>
            <w:r>
              <w:rPr>
                <w:rFonts w:hint="default" w:ascii="Times New Roman" w:hAnsi="Times New Roman" w:cs="Times New Roman"/>
                <w:color w:val="auto"/>
                <w:kern w:val="2"/>
                <w:sz w:val="24"/>
                <w:szCs w:val="24"/>
                <w:highlight w:val="none"/>
                <w:lang w:val="en-US" w:eastAsia="zh-CN"/>
              </w:rPr>
              <w:t>1#主进4000A，40kA，4s热稳定电流40kA</w:t>
            </w:r>
          </w:p>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出线2000A，31.5kA，4s热稳定电流31.5kA</w:t>
            </w:r>
          </w:p>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电容器回路1250A，31.5kA，4s热稳定电流31.5kA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电流互感器</w:t>
            </w:r>
          </w:p>
        </w:tc>
        <w:tc>
          <w:tcPr>
            <w:tcW w:w="7681" w:type="dxa"/>
            <w:tcBorders>
              <w:top w:val="single" w:color="auto" w:sz="4" w:space="0"/>
              <w:left w:val="single" w:color="auto" w:sz="4" w:space="0"/>
              <w:bottom w:val="single" w:color="auto" w:sz="4" w:space="0"/>
            </w:tcBorders>
            <w:noWrap w:val="0"/>
            <w:vAlign w:val="center"/>
          </w:tcPr>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主进4000/5A，准确级5P20/5P20/0.5/0.2S，</w:t>
            </w:r>
          </w:p>
          <w:p>
            <w:pPr>
              <w:adjustRightInd w:val="0"/>
              <w:snapToGrid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出线 2×1000/5A  5P30/0.5/0.2S，30/30/30VA</w:t>
            </w:r>
          </w:p>
          <w:p>
            <w:pPr>
              <w:adjustRightInd w:val="0"/>
              <w:snapToGrid w:val="0"/>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cs="Times New Roman"/>
                <w:color w:val="auto"/>
                <w:sz w:val="24"/>
                <w:szCs w:val="24"/>
                <w:highlight w:val="none"/>
                <w:lang w:val="en-US" w:eastAsia="zh-CN"/>
              </w:rPr>
              <w:t>电容器回路2×400/5A  5P30/0.5/0.2S，30/30/30VA。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避雷器</w:t>
            </w:r>
          </w:p>
        </w:tc>
        <w:tc>
          <w:tcPr>
            <w:tcW w:w="7681" w:type="dxa"/>
            <w:tcBorders>
              <w:top w:val="single" w:color="auto" w:sz="4" w:space="0"/>
              <w:left w:val="single" w:color="auto" w:sz="4" w:space="0"/>
              <w:bottom w:val="single" w:color="auto" w:sz="4" w:space="0"/>
            </w:tcBorders>
            <w:noWrap w:val="0"/>
            <w:vAlign w:val="center"/>
          </w:tcPr>
          <w:p>
            <w:pPr>
              <w:adjustRightInd w:val="0"/>
              <w:snapToGrid w:val="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出线柜：YH5WZ-17/45，电容器出线柜YH5WR-17/46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穿墙套管</w:t>
            </w:r>
          </w:p>
        </w:tc>
        <w:tc>
          <w:tcPr>
            <w:tcW w:w="7681" w:type="dxa"/>
            <w:tcBorders>
              <w:top w:val="single" w:color="auto" w:sz="4" w:space="0"/>
              <w:left w:val="single" w:color="auto" w:sz="4" w:space="0"/>
              <w:bottom w:val="single" w:color="auto" w:sz="4" w:space="0"/>
            </w:tcBorders>
            <w:noWrap w:val="0"/>
            <w:vAlign w:val="center"/>
          </w:tcPr>
          <w:p>
            <w:pPr>
              <w:adjustRightInd w:val="0"/>
              <w:snapToGrid w:val="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4000A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避雷器</w:t>
            </w:r>
          </w:p>
        </w:tc>
        <w:tc>
          <w:tcPr>
            <w:tcW w:w="7681" w:type="dxa"/>
            <w:tcBorders>
              <w:top w:val="single" w:color="auto" w:sz="4" w:space="0"/>
              <w:left w:val="single" w:color="auto" w:sz="4" w:space="0"/>
              <w:bottom w:val="single" w:color="auto" w:sz="4" w:space="0"/>
            </w:tcBorders>
            <w:noWrap w:val="0"/>
            <w:vAlign w:val="center"/>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YH5WZ-17/45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主变</w:t>
            </w:r>
            <w:r>
              <w:rPr>
                <w:rFonts w:hint="default" w:ascii="Times New Roman" w:hAnsi="Times New Roman" w:eastAsia="宋体" w:cs="Times New Roman"/>
                <w:color w:val="auto"/>
                <w:sz w:val="24"/>
                <w:szCs w:val="24"/>
                <w:highlight w:val="none"/>
                <w:lang w:val="zh-CN" w:eastAsia="zh-CN"/>
              </w:rPr>
              <w:t>10kV</w:t>
            </w:r>
            <w:r>
              <w:rPr>
                <w:rFonts w:hint="default" w:ascii="Times New Roman" w:hAnsi="Times New Roman" w:eastAsia="宋体" w:cs="Times New Roman"/>
                <w:color w:val="auto"/>
                <w:sz w:val="24"/>
                <w:szCs w:val="24"/>
                <w:highlight w:val="none"/>
                <w:lang w:val="en-US" w:eastAsia="zh-CN"/>
              </w:rPr>
              <w:t>母线桥</w:t>
            </w:r>
          </w:p>
        </w:tc>
        <w:tc>
          <w:tcPr>
            <w:tcW w:w="7681" w:type="dxa"/>
            <w:tcBorders>
              <w:top w:val="single" w:color="auto" w:sz="4" w:space="0"/>
              <w:left w:val="single" w:color="auto" w:sz="4" w:space="0"/>
              <w:bottom w:val="single" w:color="auto" w:sz="4" w:space="0"/>
            </w:tcBorders>
            <w:noWrap w:val="0"/>
            <w:vAlign w:val="center"/>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2×TMY-（125×10）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tcBorders>
              <w:top w:val="single" w:color="auto" w:sz="4" w:space="0"/>
              <w:bottom w:val="single" w:color="auto" w:sz="12"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10kV东母南北跨桥</w:t>
            </w:r>
          </w:p>
        </w:tc>
        <w:tc>
          <w:tcPr>
            <w:tcW w:w="7681" w:type="dxa"/>
            <w:tcBorders>
              <w:top w:val="single" w:color="auto" w:sz="4" w:space="0"/>
              <w:left w:val="single" w:color="auto" w:sz="4" w:space="0"/>
              <w:bottom w:val="single" w:color="auto" w:sz="12" w:space="0"/>
            </w:tcBorders>
            <w:noWrap w:val="0"/>
            <w:vAlign w:val="center"/>
          </w:tcPr>
          <w:p>
            <w:pPr>
              <w:adjustRightInd w:val="0"/>
              <w:snapToGrid w:val="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TMY-100×10</w:t>
            </w: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rPr>
        <w:t>并联电容器成套装置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#主变低压侧新增一套4800kvar并联电容器组，框架结构户外布置，</w:t>
      </w:r>
      <w:r>
        <w:rPr>
          <w:rFonts w:hint="default" w:ascii="Times New Roman" w:hAnsi="Times New Roman" w:eastAsia="宋体" w:cs="Times New Roman"/>
          <w:snapToGrid w:val="0"/>
          <w:color w:val="auto"/>
          <w:kern w:val="21"/>
          <w:sz w:val="24"/>
          <w:szCs w:val="24"/>
          <w:highlight w:val="none"/>
          <w:lang w:val="zh-CN"/>
        </w:rPr>
        <w:t>电抗器采用干式空心串联电抗器，根据运行经验，该地区负荷含有5、7次谐波，电抗率选为5%。</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3）接用变</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1"/>
          <w:sz w:val="24"/>
          <w:szCs w:val="24"/>
          <w:highlight w:val="none"/>
          <w:lang w:val="zh-CN"/>
        </w:rPr>
        <w:t>本站10kV出线共</w:t>
      </w:r>
      <w:r>
        <w:rPr>
          <w:rFonts w:hint="default" w:ascii="Times New Roman" w:hAnsi="Times New Roman" w:eastAsia="宋体" w:cs="Times New Roman"/>
          <w:color w:val="auto"/>
          <w:kern w:val="21"/>
          <w:sz w:val="24"/>
          <w:szCs w:val="24"/>
          <w:highlight w:val="none"/>
          <w:lang w:val="en-US" w:eastAsia="zh-CN"/>
        </w:rPr>
        <w:t>20</w:t>
      </w:r>
      <w:r>
        <w:rPr>
          <w:rFonts w:hint="default" w:ascii="Times New Roman" w:hAnsi="Times New Roman" w:eastAsia="宋体" w:cs="Times New Roman"/>
          <w:color w:val="auto"/>
          <w:kern w:val="21"/>
          <w:sz w:val="24"/>
          <w:szCs w:val="24"/>
          <w:highlight w:val="none"/>
          <w:lang w:val="zh-CN"/>
        </w:rPr>
        <w:t>回，</w:t>
      </w:r>
      <w:r>
        <w:rPr>
          <w:rFonts w:hint="default" w:ascii="Times New Roman" w:hAnsi="Times New Roman" w:eastAsia="宋体" w:cs="Times New Roman"/>
          <w:color w:val="auto"/>
          <w:kern w:val="21"/>
          <w:sz w:val="24"/>
          <w:szCs w:val="24"/>
          <w:highlight w:val="none"/>
          <w:lang w:val="en-US" w:eastAsia="zh-CN"/>
        </w:rPr>
        <w:t>其中10kV东母出线10回，厂区</w:t>
      </w:r>
      <w:r>
        <w:rPr>
          <w:rFonts w:hint="default" w:ascii="Times New Roman" w:hAnsi="Times New Roman" w:eastAsia="宋体" w:cs="Times New Roman"/>
          <w:color w:val="auto"/>
          <w:kern w:val="21"/>
          <w:sz w:val="24"/>
          <w:szCs w:val="24"/>
          <w:highlight w:val="none"/>
          <w:lang w:val="zh-CN"/>
        </w:rPr>
        <w:t>出线方式为电缆</w:t>
      </w:r>
      <w:r>
        <w:rPr>
          <w:rFonts w:hint="default" w:ascii="Times New Roman" w:hAnsi="Times New Roman" w:eastAsia="宋体" w:cs="Times New Roman"/>
          <w:color w:val="auto"/>
          <w:kern w:val="21"/>
          <w:sz w:val="24"/>
          <w:szCs w:val="24"/>
          <w:highlight w:val="none"/>
          <w:lang w:val="en-US" w:eastAsia="zh-CN"/>
        </w:rPr>
        <w:t>和电缆</w:t>
      </w:r>
      <w:r>
        <w:rPr>
          <w:rFonts w:hint="default" w:ascii="Times New Roman" w:hAnsi="Times New Roman" w:eastAsia="宋体" w:cs="Times New Roman"/>
          <w:color w:val="auto"/>
          <w:kern w:val="21"/>
          <w:sz w:val="24"/>
          <w:szCs w:val="24"/>
          <w:highlight w:val="none"/>
          <w:lang w:val="zh-CN"/>
        </w:rPr>
        <w:t>转架空</w:t>
      </w:r>
      <w:r>
        <w:rPr>
          <w:rFonts w:hint="default" w:ascii="Times New Roman" w:hAnsi="Times New Roman" w:eastAsia="宋体" w:cs="Times New Roman"/>
          <w:color w:val="auto"/>
          <w:kern w:val="21"/>
          <w:sz w:val="24"/>
          <w:szCs w:val="24"/>
          <w:highlight w:val="none"/>
          <w:lang w:val="en-US" w:eastAsia="zh-CN"/>
        </w:rPr>
        <w:t>混合</w:t>
      </w:r>
      <w:r>
        <w:rPr>
          <w:rFonts w:hint="default" w:ascii="Times New Roman" w:hAnsi="Times New Roman" w:eastAsia="宋体" w:cs="Times New Roman"/>
          <w:color w:val="auto"/>
          <w:kern w:val="21"/>
          <w:sz w:val="24"/>
          <w:szCs w:val="24"/>
          <w:highlight w:val="none"/>
          <w:lang w:val="zh-CN"/>
        </w:rPr>
        <w:t>，其中电缆</w:t>
      </w:r>
      <w:r>
        <w:rPr>
          <w:rFonts w:hint="default" w:ascii="Times New Roman" w:hAnsi="Times New Roman" w:eastAsia="宋体" w:cs="Times New Roman"/>
          <w:color w:val="auto"/>
          <w:kern w:val="21"/>
          <w:sz w:val="24"/>
          <w:szCs w:val="24"/>
          <w:highlight w:val="none"/>
          <w:lang w:val="en-US" w:eastAsia="zh-CN"/>
        </w:rPr>
        <w:t>ZR-YJV22-10-3×240长度共7.8</w:t>
      </w:r>
      <w:r>
        <w:rPr>
          <w:rFonts w:hint="default" w:ascii="Times New Roman" w:hAnsi="Times New Roman" w:cs="Times New Roman"/>
          <w:color w:val="auto"/>
          <w:kern w:val="21"/>
          <w:sz w:val="24"/>
          <w:szCs w:val="24"/>
          <w:highlight w:val="none"/>
          <w:lang w:val="zh-CN"/>
        </w:rPr>
        <w:t>km，</w:t>
      </w:r>
      <w:r>
        <w:rPr>
          <w:rFonts w:hint="default" w:ascii="Times New Roman" w:hAnsi="Times New Roman" w:eastAsia="宋体" w:cs="Times New Roman"/>
          <w:color w:val="auto"/>
          <w:kern w:val="21"/>
          <w:sz w:val="24"/>
          <w:szCs w:val="24"/>
          <w:highlight w:val="none"/>
          <w:lang w:val="en-US" w:eastAsia="zh-CN"/>
        </w:rPr>
        <w:t>ZR-YJV22-10-3×400长度共1</w:t>
      </w:r>
      <w:r>
        <w:rPr>
          <w:rFonts w:hint="default" w:ascii="Times New Roman" w:hAnsi="Times New Roman" w:cs="Times New Roman"/>
          <w:color w:val="auto"/>
          <w:kern w:val="21"/>
          <w:sz w:val="24"/>
          <w:szCs w:val="24"/>
          <w:highlight w:val="none"/>
          <w:lang w:val="zh-CN"/>
        </w:rPr>
        <w:t>km，</w:t>
      </w:r>
      <w:r>
        <w:rPr>
          <w:rFonts w:hint="default" w:ascii="Times New Roman" w:hAnsi="Times New Roman" w:eastAsia="宋体" w:cs="Times New Roman"/>
          <w:color w:val="auto"/>
          <w:kern w:val="21"/>
          <w:sz w:val="24"/>
          <w:szCs w:val="24"/>
          <w:highlight w:val="none"/>
          <w:lang w:val="zh-CN"/>
        </w:rPr>
        <w:t>架空线路</w:t>
      </w:r>
      <w:r>
        <w:rPr>
          <w:rFonts w:hint="default" w:ascii="Times New Roman" w:hAnsi="Times New Roman" w:eastAsia="宋体" w:cs="Times New Roman"/>
          <w:color w:val="auto"/>
          <w:kern w:val="21"/>
          <w:sz w:val="24"/>
          <w:szCs w:val="24"/>
          <w:highlight w:val="none"/>
          <w:lang w:val="en-US" w:eastAsia="zh-CN"/>
        </w:rPr>
        <w:t>长度共0.45</w:t>
      </w:r>
      <w:r>
        <w:rPr>
          <w:rFonts w:hint="default" w:ascii="Times New Roman" w:hAnsi="Times New Roman" w:cs="Times New Roman"/>
          <w:color w:val="auto"/>
          <w:kern w:val="21"/>
          <w:sz w:val="24"/>
          <w:szCs w:val="24"/>
          <w:highlight w:val="none"/>
          <w:lang w:val="zh-CN"/>
        </w:rPr>
        <w:t>km，</w:t>
      </w:r>
      <w:r>
        <w:rPr>
          <w:rFonts w:hint="default" w:ascii="Times New Roman" w:hAnsi="Times New Roman" w:eastAsia="宋体" w:cs="Times New Roman"/>
          <w:color w:val="auto"/>
          <w:kern w:val="21"/>
          <w:sz w:val="24"/>
          <w:szCs w:val="24"/>
          <w:highlight w:val="none"/>
          <w:lang w:val="zh-CN"/>
        </w:rPr>
        <w:t>经计算，</w:t>
      </w:r>
      <w:r>
        <w:rPr>
          <w:rFonts w:hint="default" w:ascii="Times New Roman" w:hAnsi="Times New Roman" w:eastAsia="宋体" w:cs="Times New Roman"/>
          <w:color w:val="auto"/>
          <w:kern w:val="21"/>
          <w:sz w:val="24"/>
          <w:szCs w:val="24"/>
          <w:highlight w:val="none"/>
          <w:lang w:val="en-US" w:eastAsia="zh-CN"/>
        </w:rPr>
        <w:t>10kV东母</w:t>
      </w:r>
      <w:r>
        <w:rPr>
          <w:rFonts w:hint="default" w:ascii="Times New Roman" w:hAnsi="Times New Roman" w:eastAsia="宋体" w:cs="Times New Roman"/>
          <w:color w:val="auto"/>
          <w:kern w:val="21"/>
          <w:sz w:val="24"/>
          <w:szCs w:val="24"/>
          <w:highlight w:val="none"/>
          <w:lang w:val="zh-CN" w:eastAsia="zh-CN"/>
        </w:rPr>
        <w:t>电容电流为</w:t>
      </w:r>
      <w:r>
        <w:rPr>
          <w:rFonts w:hint="default" w:ascii="Times New Roman" w:hAnsi="Times New Roman" w:eastAsia="宋体" w:cs="Times New Roman"/>
          <w:color w:val="auto"/>
          <w:kern w:val="21"/>
          <w:sz w:val="24"/>
          <w:szCs w:val="24"/>
          <w:highlight w:val="none"/>
          <w:lang w:val="en-US" w:eastAsia="zh-CN"/>
        </w:rPr>
        <w:t>21.09</w:t>
      </w:r>
      <w:r>
        <w:rPr>
          <w:rFonts w:hint="default" w:ascii="Times New Roman" w:hAnsi="Times New Roman" w:eastAsia="宋体" w:cs="Times New Roman"/>
          <w:color w:val="auto"/>
          <w:kern w:val="21"/>
          <w:sz w:val="24"/>
          <w:szCs w:val="24"/>
          <w:highlight w:val="none"/>
          <w:lang w:val="zh-CN" w:eastAsia="zh-CN"/>
        </w:rPr>
        <w:t>A（大于10A）。</w:t>
      </w:r>
      <w:r>
        <w:rPr>
          <w:rFonts w:hint="default" w:ascii="Times New Roman" w:hAnsi="Times New Roman" w:eastAsia="宋体" w:cs="Times New Roman"/>
          <w:color w:val="auto"/>
          <w:kern w:val="21"/>
          <w:sz w:val="24"/>
          <w:szCs w:val="24"/>
          <w:highlight w:val="none"/>
          <w:lang w:val="en-US" w:eastAsia="zh-CN"/>
        </w:rPr>
        <w:t>10kV西母出线10回，厂区</w:t>
      </w:r>
      <w:r>
        <w:rPr>
          <w:rFonts w:hint="default" w:ascii="Times New Roman" w:hAnsi="Times New Roman" w:eastAsia="宋体" w:cs="Times New Roman"/>
          <w:color w:val="auto"/>
          <w:kern w:val="21"/>
          <w:sz w:val="24"/>
          <w:szCs w:val="24"/>
          <w:highlight w:val="none"/>
          <w:lang w:val="zh-CN" w:eastAsia="zh-CN"/>
        </w:rPr>
        <w:t>出线方式为电缆</w:t>
      </w:r>
      <w:r>
        <w:rPr>
          <w:rFonts w:hint="default" w:ascii="Times New Roman" w:hAnsi="Times New Roman" w:eastAsia="宋体" w:cs="Times New Roman"/>
          <w:color w:val="auto"/>
          <w:kern w:val="21"/>
          <w:sz w:val="24"/>
          <w:szCs w:val="24"/>
          <w:highlight w:val="none"/>
          <w:lang w:val="en-US" w:eastAsia="zh-CN"/>
        </w:rPr>
        <w:t>和电缆</w:t>
      </w:r>
      <w:r>
        <w:rPr>
          <w:rFonts w:hint="default" w:ascii="Times New Roman" w:hAnsi="Times New Roman" w:eastAsia="宋体" w:cs="Times New Roman"/>
          <w:color w:val="auto"/>
          <w:kern w:val="21"/>
          <w:sz w:val="24"/>
          <w:szCs w:val="24"/>
          <w:highlight w:val="none"/>
          <w:lang w:val="zh-CN" w:eastAsia="zh-CN"/>
        </w:rPr>
        <w:t>转架空</w:t>
      </w:r>
      <w:r>
        <w:rPr>
          <w:rFonts w:hint="default" w:ascii="Times New Roman" w:hAnsi="Times New Roman" w:eastAsia="宋体" w:cs="Times New Roman"/>
          <w:color w:val="auto"/>
          <w:kern w:val="21"/>
          <w:sz w:val="24"/>
          <w:szCs w:val="24"/>
          <w:highlight w:val="none"/>
          <w:lang w:val="en-US" w:eastAsia="zh-CN"/>
        </w:rPr>
        <w:t>混合</w:t>
      </w:r>
      <w:r>
        <w:rPr>
          <w:rFonts w:hint="default" w:ascii="Times New Roman" w:hAnsi="Times New Roman" w:eastAsia="宋体" w:cs="Times New Roman"/>
          <w:color w:val="auto"/>
          <w:kern w:val="21"/>
          <w:sz w:val="24"/>
          <w:szCs w:val="24"/>
          <w:highlight w:val="none"/>
          <w:lang w:val="zh-CN" w:eastAsia="zh-CN"/>
        </w:rPr>
        <w:t>，其中电缆</w:t>
      </w:r>
      <w:r>
        <w:rPr>
          <w:rFonts w:hint="default" w:ascii="Times New Roman" w:hAnsi="Times New Roman" w:eastAsia="宋体" w:cs="Times New Roman"/>
          <w:color w:val="auto"/>
          <w:kern w:val="21"/>
          <w:sz w:val="24"/>
          <w:szCs w:val="24"/>
          <w:highlight w:val="none"/>
          <w:lang w:val="en-US" w:eastAsia="zh-CN"/>
        </w:rPr>
        <w:t>ZR-YJV22-10-3×240长度共5.05</w:t>
      </w:r>
      <w:r>
        <w:rPr>
          <w:rFonts w:hint="default" w:ascii="Times New Roman" w:hAnsi="Times New Roman" w:eastAsia="宋体" w:cs="Times New Roman"/>
          <w:color w:val="auto"/>
          <w:kern w:val="21"/>
          <w:sz w:val="24"/>
          <w:szCs w:val="24"/>
          <w:highlight w:val="none"/>
          <w:lang w:val="zh-CN" w:eastAsia="zh-CN"/>
        </w:rPr>
        <w:t>km，架空线路</w:t>
      </w:r>
      <w:r>
        <w:rPr>
          <w:rFonts w:hint="default" w:ascii="Times New Roman" w:hAnsi="Times New Roman" w:eastAsia="宋体" w:cs="Times New Roman"/>
          <w:color w:val="auto"/>
          <w:kern w:val="21"/>
          <w:sz w:val="24"/>
          <w:szCs w:val="24"/>
          <w:highlight w:val="none"/>
          <w:lang w:val="en-US" w:eastAsia="zh-CN"/>
        </w:rPr>
        <w:t>长度共0.7</w:t>
      </w:r>
      <w:r>
        <w:rPr>
          <w:rFonts w:hint="default" w:ascii="Times New Roman" w:hAnsi="Times New Roman" w:eastAsia="宋体" w:cs="Times New Roman"/>
          <w:color w:val="auto"/>
          <w:kern w:val="21"/>
          <w:sz w:val="24"/>
          <w:szCs w:val="24"/>
          <w:highlight w:val="none"/>
          <w:lang w:val="zh-CN" w:eastAsia="zh-CN"/>
        </w:rPr>
        <w:t>km，经计算，</w:t>
      </w:r>
      <w:r>
        <w:rPr>
          <w:rFonts w:hint="default" w:ascii="Times New Roman" w:hAnsi="Times New Roman" w:eastAsia="宋体" w:cs="Times New Roman"/>
          <w:color w:val="auto"/>
          <w:kern w:val="21"/>
          <w:sz w:val="24"/>
          <w:szCs w:val="24"/>
          <w:highlight w:val="none"/>
          <w:lang w:val="en-US" w:eastAsia="zh-CN"/>
        </w:rPr>
        <w:t>10kV西母</w:t>
      </w:r>
      <w:r>
        <w:rPr>
          <w:rFonts w:hint="default" w:ascii="Times New Roman" w:hAnsi="Times New Roman" w:eastAsia="宋体" w:cs="Times New Roman"/>
          <w:color w:val="auto"/>
          <w:kern w:val="21"/>
          <w:sz w:val="24"/>
          <w:szCs w:val="24"/>
          <w:highlight w:val="none"/>
          <w:lang w:val="zh-CN" w:eastAsia="zh-CN"/>
        </w:rPr>
        <w:t>电容电流为</w:t>
      </w:r>
      <w:r>
        <w:rPr>
          <w:rFonts w:hint="default" w:ascii="Times New Roman" w:hAnsi="Times New Roman" w:eastAsia="宋体" w:cs="Times New Roman"/>
          <w:color w:val="auto"/>
          <w:kern w:val="21"/>
          <w:sz w:val="24"/>
          <w:szCs w:val="24"/>
          <w:highlight w:val="none"/>
          <w:lang w:val="en-US" w:eastAsia="zh-CN"/>
        </w:rPr>
        <w:t>11.47</w:t>
      </w:r>
      <w:r>
        <w:rPr>
          <w:rFonts w:hint="default" w:ascii="Times New Roman" w:hAnsi="Times New Roman" w:eastAsia="宋体" w:cs="Times New Roman"/>
          <w:color w:val="auto"/>
          <w:kern w:val="21"/>
          <w:sz w:val="24"/>
          <w:szCs w:val="24"/>
          <w:highlight w:val="none"/>
          <w:lang w:val="zh-CN" w:eastAsia="zh-CN"/>
        </w:rPr>
        <w:t>A（大于10A）。</w:t>
      </w:r>
      <w:r>
        <w:rPr>
          <w:rFonts w:hint="default" w:ascii="Times New Roman" w:hAnsi="Times New Roman" w:eastAsia="宋体" w:cs="Times New Roman"/>
          <w:color w:val="auto"/>
          <w:kern w:val="21"/>
          <w:sz w:val="24"/>
          <w:szCs w:val="24"/>
          <w:highlight w:val="none"/>
          <w:lang w:val="en-US" w:eastAsia="zh-CN"/>
        </w:rPr>
        <w:t>本站10kV运行方式为并列运行，故10kV总电容电流为32.56</w:t>
      </w:r>
      <w:r>
        <w:rPr>
          <w:rFonts w:hint="default" w:ascii="Times New Roman" w:hAnsi="Times New Roman" w:eastAsia="宋体" w:cs="Times New Roman"/>
          <w:color w:val="auto"/>
          <w:kern w:val="21"/>
          <w:sz w:val="24"/>
          <w:szCs w:val="24"/>
          <w:highlight w:val="none"/>
          <w:lang w:val="zh-CN" w:eastAsia="zh-CN"/>
        </w:rPr>
        <w:t>A</w:t>
      </w:r>
      <w:r>
        <w:rPr>
          <w:rFonts w:hint="default" w:ascii="Times New Roman" w:hAnsi="Times New Roman" w:eastAsia="宋体" w:cs="Times New Roman"/>
          <w:color w:val="auto"/>
          <w:kern w:val="21"/>
          <w:sz w:val="24"/>
          <w:szCs w:val="24"/>
          <w:highlight w:val="none"/>
          <w:lang w:val="en-US" w:eastAsia="zh-CN"/>
        </w:rPr>
        <w:t>。</w:t>
      </w:r>
      <w:r>
        <w:rPr>
          <w:rFonts w:hint="default" w:ascii="Times New Roman" w:hAnsi="Times New Roman" w:eastAsia="宋体" w:cs="Times New Roman"/>
          <w:color w:val="auto"/>
          <w:kern w:val="21"/>
          <w:sz w:val="24"/>
          <w:szCs w:val="24"/>
          <w:highlight w:val="none"/>
          <w:lang w:val="zh-CN" w:eastAsia="zh-CN"/>
        </w:rPr>
        <w:t>设计</w:t>
      </w:r>
      <w:r>
        <w:rPr>
          <w:rFonts w:hint="default" w:ascii="Times New Roman" w:hAnsi="Times New Roman" w:eastAsia="宋体" w:cs="Times New Roman"/>
          <w:color w:val="auto"/>
          <w:kern w:val="21"/>
          <w:sz w:val="24"/>
          <w:szCs w:val="24"/>
          <w:highlight w:val="none"/>
          <w:lang w:val="en-US" w:eastAsia="zh-CN"/>
        </w:rPr>
        <w:t>在10kV东母</w:t>
      </w:r>
      <w:r>
        <w:rPr>
          <w:rFonts w:hint="default" w:ascii="Times New Roman" w:hAnsi="Times New Roman" w:eastAsia="宋体" w:cs="Times New Roman"/>
          <w:color w:val="auto"/>
          <w:kern w:val="21"/>
          <w:sz w:val="24"/>
          <w:szCs w:val="24"/>
          <w:highlight w:val="none"/>
          <w:lang w:val="zh-CN" w:eastAsia="zh-CN"/>
        </w:rPr>
        <w:t>采用消弧线圈接地进行补偿。</w:t>
      </w:r>
      <w:r>
        <w:rPr>
          <w:rFonts w:hint="default" w:ascii="Times New Roman" w:hAnsi="Times New Roman" w:eastAsia="宋体" w:cs="Times New Roman"/>
          <w:color w:val="auto"/>
          <w:kern w:val="21"/>
          <w:sz w:val="24"/>
          <w:szCs w:val="24"/>
          <w:highlight w:val="none"/>
          <w:lang w:val="en-US" w:eastAsia="zh-CN"/>
        </w:rPr>
        <w:t>故本</w:t>
      </w:r>
      <w:r>
        <w:rPr>
          <w:rFonts w:hint="default" w:ascii="Times New Roman" w:hAnsi="Times New Roman" w:eastAsia="宋体" w:cs="Times New Roman"/>
          <w:color w:val="auto"/>
          <w:sz w:val="24"/>
          <w:szCs w:val="24"/>
          <w:highlight w:val="none"/>
          <w:lang w:val="en-US" w:eastAsia="zh-CN"/>
        </w:rPr>
        <w:t>期1#站用变拆除，新上1#接地变及消弧成套装置。</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default" w:ascii="Times New Roman" w:hAnsi="Times New Roman" w:eastAsia="宋体" w:cs="Times New Roman"/>
          <w:color w:val="auto"/>
          <w:kern w:val="21"/>
          <w:sz w:val="24"/>
          <w:szCs w:val="24"/>
          <w:highlight w:val="none"/>
          <w:lang w:val="zh-CN" w:eastAsia="zh-CN"/>
        </w:rPr>
      </w:pPr>
      <w:r>
        <w:rPr>
          <w:rFonts w:hint="default" w:ascii="Times New Roman" w:hAnsi="Times New Roman" w:eastAsia="宋体" w:cs="Times New Roman"/>
          <w:color w:val="auto"/>
          <w:kern w:val="21"/>
          <w:sz w:val="24"/>
          <w:szCs w:val="24"/>
          <w:highlight w:val="none"/>
          <w:lang w:val="zh-CN" w:eastAsia="zh-CN"/>
        </w:rPr>
        <w:t>消弧线圈容量为Q=1.35ICUC/</w:t>
      </w:r>
      <w:r>
        <w:rPr>
          <w:rFonts w:hint="default" w:ascii="Times New Roman" w:hAnsi="Times New Roman" w:eastAsia="宋体" w:cs="Times New Roman"/>
          <w:color w:val="auto"/>
          <w:kern w:val="21"/>
          <w:sz w:val="24"/>
          <w:szCs w:val="24"/>
          <w:highlight w:val="none"/>
          <w:lang w:val="zh-CN" w:eastAsia="zh-CN"/>
        </w:rPr>
        <w:object>
          <v:shape id="_x0000_i1027" o:spt="75" type="#_x0000_t75" style="height:18pt;width:18pt;" o:ole="t" filled="f" o:preferrelative="t" stroked="f" coordsize="21600,21600">
            <v:path/>
            <v:fill on="f" focussize="0,0"/>
            <v:stroke on="f"/>
            <v:imagedata r:id="rId19" o:title=""/>
            <o:lock v:ext="edit" rotation="f" text="f" aspectratio="t"/>
            <w10:wrap type="none"/>
            <w10:anchorlock/>
          </v:shape>
          <o:OLEObject Type="Embed" ProgID="Equation.3" ShapeID="_x0000_i1027" DrawAspect="Content" ObjectID="_1468075727" r:id="rId18">
            <o:LockedField>false</o:LockedField>
          </o:OLEObject>
        </w:object>
      </w:r>
      <w:r>
        <w:rPr>
          <w:rFonts w:hint="default" w:ascii="Times New Roman" w:hAnsi="Times New Roman" w:eastAsia="宋体" w:cs="Times New Roman"/>
          <w:color w:val="auto"/>
          <w:kern w:val="21"/>
          <w:sz w:val="24"/>
          <w:szCs w:val="24"/>
          <w:highlight w:val="none"/>
          <w:lang w:val="zh-CN" w:eastAsia="zh-CN"/>
        </w:rPr>
        <w:t>=1.35×</w:t>
      </w:r>
      <w:r>
        <w:rPr>
          <w:rFonts w:hint="default" w:ascii="Times New Roman" w:hAnsi="Times New Roman" w:eastAsia="宋体" w:cs="Times New Roman"/>
          <w:color w:val="auto"/>
          <w:kern w:val="21"/>
          <w:sz w:val="24"/>
          <w:szCs w:val="24"/>
          <w:highlight w:val="none"/>
          <w:lang w:val="en-US" w:eastAsia="zh-CN"/>
        </w:rPr>
        <w:t>32.56</w:t>
      </w:r>
      <w:r>
        <w:rPr>
          <w:rFonts w:hint="default" w:ascii="Times New Roman" w:hAnsi="Times New Roman" w:eastAsia="宋体" w:cs="Times New Roman"/>
          <w:color w:val="auto"/>
          <w:kern w:val="21"/>
          <w:sz w:val="24"/>
          <w:szCs w:val="24"/>
          <w:highlight w:val="none"/>
          <w:lang w:val="zh-CN" w:eastAsia="zh-CN"/>
        </w:rPr>
        <w:t>×10.5÷</w:t>
      </w:r>
      <w:r>
        <w:rPr>
          <w:rFonts w:hint="default" w:ascii="Times New Roman" w:hAnsi="Times New Roman" w:eastAsia="宋体" w:cs="Times New Roman"/>
          <w:color w:val="auto"/>
          <w:kern w:val="21"/>
          <w:sz w:val="24"/>
          <w:szCs w:val="24"/>
          <w:highlight w:val="none"/>
          <w:lang w:val="zh-CN" w:eastAsia="zh-CN"/>
        </w:rPr>
        <w:object>
          <v:shape id="_x0000_i1028" o:spt="75" type="#_x0000_t75" style="height:18pt;width:18pt;" o:ole="t" filled="f" o:preferrelative="t" stroked="f" coordsize="21600,21600">
            <v:path/>
            <v:fill on="f" focussize="0,0"/>
            <v:stroke on="f"/>
            <v:imagedata r:id="rId19" o:title=""/>
            <o:lock v:ext="edit" rotation="f" text="f" aspectratio="t"/>
            <w10:wrap type="none"/>
            <w10:anchorlock/>
          </v:shape>
          <o:OLEObject Type="Embed" ProgID="Equation.3" ShapeID="_x0000_i1028" DrawAspect="Content" ObjectID="_1468075728" r:id="rId20">
            <o:LockedField>false</o:LockedField>
          </o:OLEObject>
        </w:object>
      </w:r>
      <w:r>
        <w:rPr>
          <w:rFonts w:hint="default" w:ascii="Times New Roman" w:hAnsi="Times New Roman" w:eastAsia="宋体" w:cs="Times New Roman"/>
          <w:color w:val="auto"/>
          <w:kern w:val="21"/>
          <w:sz w:val="24"/>
          <w:szCs w:val="24"/>
          <w:highlight w:val="none"/>
          <w:lang w:val="zh-CN" w:eastAsia="zh-CN"/>
        </w:rPr>
        <w:t>=</w:t>
      </w:r>
      <w:r>
        <w:rPr>
          <w:rFonts w:hint="default" w:ascii="Times New Roman" w:hAnsi="Times New Roman" w:eastAsia="宋体" w:cs="Times New Roman"/>
          <w:color w:val="auto"/>
          <w:kern w:val="21"/>
          <w:sz w:val="24"/>
          <w:szCs w:val="24"/>
          <w:highlight w:val="none"/>
          <w:lang w:val="en-US" w:eastAsia="zh-CN"/>
        </w:rPr>
        <w:t>266.47</w:t>
      </w:r>
      <w:r>
        <w:rPr>
          <w:rFonts w:hint="default" w:ascii="Times New Roman" w:hAnsi="Times New Roman" w:eastAsia="宋体" w:cs="Times New Roman"/>
          <w:color w:val="auto"/>
          <w:kern w:val="21"/>
          <w:sz w:val="24"/>
          <w:szCs w:val="24"/>
          <w:highlight w:val="none"/>
          <w:lang w:val="zh-CN" w:eastAsia="zh-CN"/>
        </w:rPr>
        <w:t>（kVA），选用额定容量315kVA的干式消弧线圈，站用变容量100kVA，</w:t>
      </w:r>
      <w:r>
        <w:rPr>
          <w:rFonts w:hint="default" w:ascii="Times New Roman" w:hAnsi="Times New Roman" w:eastAsia="宋体" w:cs="Times New Roman"/>
          <w:color w:val="auto"/>
          <w:kern w:val="21"/>
          <w:sz w:val="24"/>
          <w:szCs w:val="24"/>
          <w:highlight w:val="none"/>
          <w:lang w:val="en-US" w:eastAsia="zh-CN"/>
        </w:rPr>
        <w:t>新上</w:t>
      </w:r>
      <w:r>
        <w:rPr>
          <w:rFonts w:hint="default" w:ascii="Times New Roman" w:hAnsi="Times New Roman" w:eastAsia="宋体" w:cs="Times New Roman"/>
          <w:color w:val="auto"/>
          <w:kern w:val="21"/>
          <w:sz w:val="24"/>
          <w:szCs w:val="24"/>
          <w:highlight w:val="none"/>
          <w:lang w:val="zh-CN" w:eastAsia="zh-CN"/>
        </w:rPr>
        <w:t>一套415kVA的接地变及消弧线圈成套装置。接地变选用干式变，额定电压：10.5kV，接线组别：ZN，yn11，阻抗电压：Uk%=4.0。</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d.</w:t>
      </w:r>
      <w:r>
        <w:rPr>
          <w:rFonts w:hint="default" w:ascii="Times New Roman" w:hAnsi="Times New Roman" w:cs="Times New Roman"/>
          <w:snapToGrid w:val="0"/>
          <w:color w:val="auto"/>
          <w:kern w:val="21"/>
          <w:sz w:val="24"/>
          <w:szCs w:val="24"/>
          <w:highlight w:val="none"/>
        </w:rPr>
        <w:t>导体选择结果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变电站各回路最大工作电流及导体选择见表3-</w:t>
      </w:r>
      <w:r>
        <w:rPr>
          <w:rFonts w:hint="default" w:ascii="Times New Roman" w:hAnsi="Times New Roman" w:cs="Times New Roman"/>
          <w:snapToGrid w:val="0"/>
          <w:color w:val="auto"/>
          <w:kern w:val="21"/>
          <w:sz w:val="24"/>
          <w:szCs w:val="24"/>
          <w:highlight w:val="none"/>
          <w:lang w:val="en-US" w:eastAsia="zh-CN"/>
        </w:rPr>
        <w:t>9</w:t>
      </w:r>
      <w:r>
        <w:rPr>
          <w:rFonts w:hint="default" w:ascii="Times New Roman" w:hAnsi="Times New Roman" w:cs="Times New Roman"/>
          <w:snapToGrid w:val="0"/>
          <w:color w:val="auto"/>
          <w:kern w:val="21"/>
          <w:sz w:val="24"/>
          <w:szCs w:val="24"/>
          <w:highlight w:val="none"/>
          <w:lang w:val="zh-CN"/>
        </w:rPr>
        <w:t>。</w:t>
      </w:r>
    </w:p>
    <w:p>
      <w:pPr>
        <w:keepNext w:val="0"/>
        <w:keepLines w:val="0"/>
        <w:pageBreakBefore w:val="0"/>
        <w:widowControl w:val="0"/>
        <w:tabs>
          <w:tab w:val="left" w:pos="1800"/>
        </w:tabs>
        <w:kinsoku/>
        <w:wordWrap/>
        <w:overflowPunct/>
        <w:topLinePunct w:val="0"/>
        <w:autoSpaceDE/>
        <w:autoSpaceDN/>
        <w:bidi w:val="0"/>
        <w:adjustRightInd/>
        <w:snapToGrid/>
        <w:spacing w:line="460" w:lineRule="exact"/>
        <w:ind w:left="0" w:leftChars="0" w:rightChars="0" w:firstLine="0" w:firstLineChars="0"/>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表3-</w:t>
      </w:r>
      <w:r>
        <w:rPr>
          <w:rFonts w:hint="default" w:ascii="Times New Roman" w:hAnsi="Times New Roman" w:cs="Times New Roman"/>
          <w:snapToGrid w:val="0"/>
          <w:color w:val="auto"/>
          <w:kern w:val="21"/>
          <w:sz w:val="24"/>
          <w:szCs w:val="24"/>
          <w:highlight w:val="none"/>
          <w:lang w:val="en-US" w:eastAsia="zh-CN"/>
        </w:rPr>
        <w:t>9</w:t>
      </w:r>
      <w:r>
        <w:rPr>
          <w:rFonts w:hint="default" w:ascii="Times New Roman" w:hAnsi="Times New Roman" w:cs="Times New Roman"/>
          <w:snapToGrid w:val="0"/>
          <w:color w:val="auto"/>
          <w:kern w:val="21"/>
          <w:sz w:val="24"/>
          <w:szCs w:val="24"/>
          <w:highlight w:val="none"/>
        </w:rPr>
        <w:t xml:space="preserve"> 各回路最大工作电流及导体选择表    </w:t>
      </w:r>
    </w:p>
    <w:tbl>
      <w:tblPr>
        <w:tblStyle w:val="50"/>
        <w:tblW w:w="93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834"/>
        <w:gridCol w:w="1228"/>
        <w:gridCol w:w="2190"/>
        <w:gridCol w:w="1440"/>
        <w:gridCol w:w="16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96" w:type="dxa"/>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电压（kV）</w:t>
            </w:r>
          </w:p>
        </w:tc>
        <w:tc>
          <w:tcPr>
            <w:tcW w:w="1834" w:type="dxa"/>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回路名称</w:t>
            </w:r>
          </w:p>
        </w:tc>
        <w:tc>
          <w:tcPr>
            <w:tcW w:w="1228" w:type="dxa"/>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回路电流（A）</w:t>
            </w:r>
          </w:p>
        </w:tc>
        <w:tc>
          <w:tcPr>
            <w:tcW w:w="2190" w:type="dxa"/>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导线型号</w:t>
            </w:r>
          </w:p>
        </w:tc>
        <w:tc>
          <w:tcPr>
            <w:tcW w:w="1440" w:type="dxa"/>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载流量（A）</w:t>
            </w:r>
          </w:p>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（25℃）</w:t>
            </w:r>
          </w:p>
        </w:tc>
        <w:tc>
          <w:tcPr>
            <w:tcW w:w="1627" w:type="dxa"/>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载流量（A）</w:t>
            </w:r>
          </w:p>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6" w:type="dxa"/>
            <w:tcBorders>
              <w:bottom w:val="single" w:color="auto" w:sz="4" w:space="0"/>
            </w:tcBorders>
            <w:noWrap w:val="0"/>
            <w:vAlign w:val="center"/>
          </w:tcPr>
          <w:p>
            <w:pPr>
              <w:adjustRightInd w:val="0"/>
              <w:jc w:val="cente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110</w:t>
            </w:r>
          </w:p>
        </w:tc>
        <w:tc>
          <w:tcPr>
            <w:tcW w:w="1834" w:type="dxa"/>
            <w:tcBorders>
              <w:bottom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出线（电缆互感器两侧引线）</w:t>
            </w:r>
          </w:p>
        </w:tc>
        <w:tc>
          <w:tcPr>
            <w:tcW w:w="1228" w:type="dxa"/>
            <w:tcBorders>
              <w:bottom w:val="single" w:color="auto" w:sz="4" w:space="0"/>
            </w:tcBorders>
            <w:noWrap w:val="0"/>
            <w:vAlign w:val="center"/>
          </w:tcPr>
          <w:p>
            <w:pPr>
              <w:adjustRightInd w:val="0"/>
              <w:jc w:val="center"/>
              <w:rPr>
                <w:rFonts w:hint="default" w:ascii="Times New Roman" w:hAnsi="Times New Roman" w:cs="Times New Roman"/>
                <w:color w:val="auto"/>
                <w:kern w:val="21"/>
                <w:sz w:val="24"/>
                <w:szCs w:val="24"/>
                <w:highlight w:val="none"/>
                <w:lang w:val="en-US" w:eastAsia="zh-CN"/>
              </w:rPr>
            </w:pPr>
            <w:r>
              <w:rPr>
                <w:rFonts w:hint="default" w:ascii="Times New Roman" w:hAnsi="Times New Roman" w:cs="Times New Roman"/>
                <w:color w:val="auto"/>
                <w:kern w:val="21"/>
                <w:sz w:val="24"/>
                <w:szCs w:val="24"/>
                <w:highlight w:val="none"/>
                <w:lang w:val="en-US" w:eastAsia="zh-CN"/>
              </w:rPr>
              <w:t>315</w:t>
            </w:r>
          </w:p>
        </w:tc>
        <w:tc>
          <w:tcPr>
            <w:tcW w:w="2190" w:type="dxa"/>
            <w:tcBorders>
              <w:bottom w:val="single" w:color="auto" w:sz="4" w:space="0"/>
            </w:tcBorders>
            <w:noWrap w:val="0"/>
            <w:vAlign w:val="center"/>
          </w:tcPr>
          <w:p>
            <w:pPr>
              <w:adjustRightInd w:val="0"/>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LGJ-300/25</w:t>
            </w:r>
          </w:p>
        </w:tc>
        <w:tc>
          <w:tcPr>
            <w:tcW w:w="1440" w:type="dxa"/>
            <w:tcBorders>
              <w:bottom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710</w:t>
            </w:r>
          </w:p>
        </w:tc>
        <w:tc>
          <w:tcPr>
            <w:tcW w:w="1627" w:type="dxa"/>
            <w:tcBorders>
              <w:bottom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6" w:type="dxa"/>
            <w:tcBorders>
              <w:top w:val="single" w:color="auto" w:sz="4" w:space="0"/>
              <w:bottom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p>
        </w:tc>
        <w:tc>
          <w:tcPr>
            <w:tcW w:w="1834" w:type="dxa"/>
            <w:tcBorders>
              <w:top w:val="single" w:color="auto" w:sz="4" w:space="0"/>
              <w:bottom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1#主变进线（主变引线）</w:t>
            </w:r>
          </w:p>
        </w:tc>
        <w:tc>
          <w:tcPr>
            <w:tcW w:w="1228" w:type="dxa"/>
            <w:tcBorders>
              <w:top w:val="single" w:color="auto" w:sz="4" w:space="0"/>
              <w:bottom w:val="single" w:color="auto" w:sz="4" w:space="0"/>
            </w:tcBorders>
            <w:noWrap w:val="0"/>
            <w:vAlign w:val="center"/>
          </w:tcPr>
          <w:p>
            <w:pPr>
              <w:adjustRightInd w:val="0"/>
              <w:jc w:val="center"/>
              <w:rPr>
                <w:rFonts w:hint="default" w:ascii="Times New Roman" w:hAnsi="Times New Roman"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210</w:t>
            </w:r>
          </w:p>
        </w:tc>
        <w:tc>
          <w:tcPr>
            <w:tcW w:w="2190" w:type="dxa"/>
            <w:tcBorders>
              <w:top w:val="single" w:color="auto" w:sz="4" w:space="0"/>
              <w:bottom w:val="single" w:color="auto" w:sz="4" w:space="0"/>
            </w:tcBorders>
            <w:noWrap w:val="0"/>
            <w:vAlign w:val="center"/>
          </w:tcPr>
          <w:p>
            <w:pPr>
              <w:adjustRightInd w:val="0"/>
              <w:jc w:val="cente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LGJ-300/25</w:t>
            </w:r>
          </w:p>
        </w:tc>
        <w:tc>
          <w:tcPr>
            <w:tcW w:w="1440"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710</w:t>
            </w:r>
          </w:p>
        </w:tc>
        <w:tc>
          <w:tcPr>
            <w:tcW w:w="16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6" w:type="dxa"/>
            <w:tcBorders>
              <w:top w:val="single" w:color="auto" w:sz="4" w:space="0"/>
              <w:bottom w:val="single" w:color="auto" w:sz="4" w:space="0"/>
            </w:tcBorders>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10</w:t>
            </w:r>
          </w:p>
        </w:tc>
        <w:tc>
          <w:tcPr>
            <w:tcW w:w="1834" w:type="dxa"/>
            <w:tcBorders>
              <w:top w:val="single" w:color="auto" w:sz="4" w:space="0"/>
              <w:bottom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color w:val="auto"/>
                <w:sz w:val="24"/>
                <w:szCs w:val="24"/>
                <w:highlight w:val="none"/>
                <w:lang w:val="en-US" w:eastAsia="zh-CN"/>
              </w:rPr>
              <w:t>1#主进</w:t>
            </w:r>
            <w:r>
              <w:rPr>
                <w:rFonts w:hint="default" w:ascii="Times New Roman" w:hAnsi="Times New Roman" w:cs="Times New Roman"/>
                <w:color w:val="auto"/>
                <w:sz w:val="24"/>
                <w:szCs w:val="24"/>
                <w:highlight w:val="none"/>
                <w:lang w:val="zh-CN"/>
              </w:rPr>
              <w:t>母线</w:t>
            </w:r>
            <w:r>
              <w:rPr>
                <w:rFonts w:hint="default" w:ascii="Times New Roman" w:hAnsi="Times New Roman" w:cs="Times New Roman"/>
                <w:color w:val="auto"/>
                <w:sz w:val="24"/>
                <w:szCs w:val="24"/>
                <w:highlight w:val="none"/>
                <w:lang w:val="en-US" w:eastAsia="zh-CN"/>
              </w:rPr>
              <w:t>桥</w:t>
            </w:r>
          </w:p>
        </w:tc>
        <w:tc>
          <w:tcPr>
            <w:tcW w:w="1228" w:type="dxa"/>
            <w:tcBorders>
              <w:top w:val="single" w:color="auto" w:sz="4" w:space="0"/>
              <w:bottom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color w:val="auto"/>
                <w:sz w:val="24"/>
                <w:szCs w:val="24"/>
                <w:highlight w:val="none"/>
                <w:lang w:val="en-US" w:eastAsia="zh-CN"/>
              </w:rPr>
              <w:t>2425</w:t>
            </w:r>
          </w:p>
        </w:tc>
        <w:tc>
          <w:tcPr>
            <w:tcW w:w="2190" w:type="dxa"/>
            <w:tcBorders>
              <w:top w:val="single" w:color="auto" w:sz="4" w:space="0"/>
              <w:bottom w:val="single" w:color="auto" w:sz="4" w:space="0"/>
            </w:tcBorders>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×TMY-125×10</w:t>
            </w:r>
          </w:p>
        </w:tc>
        <w:tc>
          <w:tcPr>
            <w:tcW w:w="1440" w:type="dxa"/>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eastAsia="宋体" w:cs="Times New Roman"/>
                <w:color w:val="auto"/>
                <w:kern w:val="21"/>
                <w:sz w:val="24"/>
                <w:szCs w:val="24"/>
                <w:highlight w:val="none"/>
                <w:lang w:val="en-US" w:eastAsia="zh-CN"/>
              </w:rPr>
              <w:t>3816</w:t>
            </w:r>
          </w:p>
        </w:tc>
        <w:tc>
          <w:tcPr>
            <w:tcW w:w="1627" w:type="dxa"/>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lang w:val="en-US"/>
              </w:rPr>
            </w:pPr>
            <w:r>
              <w:rPr>
                <w:rFonts w:hint="default" w:ascii="Times New Roman" w:hAnsi="Times New Roman" w:eastAsia="宋体" w:cs="Times New Roman"/>
                <w:color w:val="auto"/>
                <w:kern w:val="21"/>
                <w:sz w:val="24"/>
                <w:szCs w:val="24"/>
                <w:highlight w:val="none"/>
                <w:lang w:val="en-US" w:eastAsia="zh-CN"/>
              </w:rPr>
              <w:t>3091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96" w:type="dxa"/>
            <w:tcBorders>
              <w:top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p>
        </w:tc>
        <w:tc>
          <w:tcPr>
            <w:tcW w:w="1834" w:type="dxa"/>
            <w:tcBorders>
              <w:top w:val="single" w:color="auto" w:sz="4" w:space="0"/>
            </w:tcBorders>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电容器回路</w:t>
            </w:r>
          </w:p>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48</w:t>
            </w:r>
            <w:r>
              <w:rPr>
                <w:rFonts w:hint="default" w:ascii="Times New Roman" w:hAnsi="Times New Roman" w:cs="Times New Roman"/>
                <w:snapToGrid w:val="0"/>
                <w:color w:val="auto"/>
                <w:kern w:val="21"/>
                <w:sz w:val="24"/>
                <w:szCs w:val="24"/>
                <w:highlight w:val="none"/>
              </w:rPr>
              <w:t>00</w:t>
            </w:r>
            <w:r>
              <w:rPr>
                <w:rFonts w:hint="default" w:ascii="Times New Roman" w:hAnsi="Times New Roman" w:cs="Times New Roman"/>
                <w:color w:val="auto"/>
                <w:kern w:val="21"/>
                <w:sz w:val="24"/>
                <w:szCs w:val="24"/>
                <w:highlight w:val="none"/>
              </w:rPr>
              <w:t>kvar</w:t>
            </w:r>
            <w:r>
              <w:rPr>
                <w:rFonts w:hint="default" w:ascii="Times New Roman" w:hAnsi="Times New Roman" w:cs="Times New Roman"/>
                <w:snapToGrid w:val="0"/>
                <w:color w:val="auto"/>
                <w:kern w:val="21"/>
                <w:sz w:val="24"/>
                <w:szCs w:val="24"/>
                <w:highlight w:val="none"/>
              </w:rPr>
              <w:t>）</w:t>
            </w:r>
          </w:p>
        </w:tc>
        <w:tc>
          <w:tcPr>
            <w:tcW w:w="1228" w:type="dxa"/>
            <w:tcBorders>
              <w:top w:val="single" w:color="auto" w:sz="4" w:space="0"/>
            </w:tcBorders>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360</w:t>
            </w:r>
          </w:p>
        </w:tc>
        <w:tc>
          <w:tcPr>
            <w:tcW w:w="2190" w:type="dxa"/>
            <w:tcBorders>
              <w:top w:val="single" w:color="auto" w:sz="4" w:space="0"/>
            </w:tcBorders>
            <w:noWrap w:val="0"/>
            <w:vAlign w:val="center"/>
          </w:tcPr>
          <w:p>
            <w:pPr>
              <w:adjustRightInd w:val="0"/>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ZR</w:t>
            </w:r>
            <w:r>
              <w:rPr>
                <w:rFonts w:hint="default" w:ascii="Times New Roman" w:hAnsi="Times New Roman" w:cs="Times New Roman"/>
                <w:snapToGrid w:val="0"/>
                <w:color w:val="auto"/>
                <w:kern w:val="21"/>
                <w:sz w:val="24"/>
                <w:szCs w:val="24"/>
                <w:highlight w:val="none"/>
              </w:rPr>
              <w:t>YJV22-10-3×240</w:t>
            </w:r>
          </w:p>
        </w:tc>
        <w:tc>
          <w:tcPr>
            <w:tcW w:w="1440" w:type="dxa"/>
            <w:tcBorders>
              <w:top w:val="single" w:color="auto" w:sz="4" w:space="0"/>
            </w:tcBorders>
            <w:noWrap w:val="0"/>
            <w:vAlign w:val="center"/>
          </w:tcPr>
          <w:p>
            <w:pPr>
              <w:spacing w:line="4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lang w:val="en-US" w:eastAsia="zh-CN"/>
              </w:rPr>
              <w:t>64</w:t>
            </w:r>
          </w:p>
        </w:tc>
        <w:tc>
          <w:tcPr>
            <w:tcW w:w="1627" w:type="dxa"/>
            <w:tcBorders>
              <w:top w:val="single" w:color="auto" w:sz="4" w:space="0"/>
            </w:tcBorders>
            <w:noWrap w:val="0"/>
            <w:vAlign w:val="center"/>
          </w:tcPr>
          <w:p>
            <w:pPr>
              <w:spacing w:line="460" w:lineRule="exact"/>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96" w:type="dxa"/>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p>
        </w:tc>
        <w:tc>
          <w:tcPr>
            <w:tcW w:w="1834" w:type="dxa"/>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接地变回路（</w:t>
            </w:r>
            <w:r>
              <w:rPr>
                <w:rFonts w:hint="default" w:ascii="Times New Roman" w:hAnsi="Times New Roman" w:eastAsia="宋体" w:cs="Times New Roman"/>
                <w:snapToGrid w:val="0"/>
                <w:color w:val="auto"/>
                <w:kern w:val="21"/>
                <w:sz w:val="24"/>
                <w:szCs w:val="24"/>
                <w:highlight w:val="none"/>
                <w:lang w:val="zh-CN" w:eastAsia="zh-CN"/>
              </w:rPr>
              <w:t>415kVA</w:t>
            </w:r>
            <w:r>
              <w:rPr>
                <w:rFonts w:hint="default" w:ascii="Times New Roman" w:hAnsi="Times New Roman" w:eastAsia="宋体" w:cs="Times New Roman"/>
                <w:snapToGrid w:val="0"/>
                <w:color w:val="auto"/>
                <w:kern w:val="21"/>
                <w:sz w:val="24"/>
                <w:szCs w:val="24"/>
                <w:highlight w:val="none"/>
                <w:lang w:val="en-US" w:eastAsia="zh-CN"/>
              </w:rPr>
              <w:t>）</w:t>
            </w:r>
          </w:p>
        </w:tc>
        <w:tc>
          <w:tcPr>
            <w:tcW w:w="1228" w:type="dxa"/>
            <w:noWrap w:val="0"/>
            <w:vAlign w:val="center"/>
          </w:tcPr>
          <w:p>
            <w:pPr>
              <w:adjustRightInd w:val="0"/>
              <w:jc w:val="cente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25</w:t>
            </w:r>
          </w:p>
        </w:tc>
        <w:tc>
          <w:tcPr>
            <w:tcW w:w="2190" w:type="dxa"/>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ZR</w:t>
            </w:r>
            <w:r>
              <w:rPr>
                <w:rFonts w:hint="default" w:ascii="Times New Roman" w:hAnsi="Times New Roman" w:cs="Times New Roman"/>
                <w:snapToGrid w:val="0"/>
                <w:color w:val="auto"/>
                <w:kern w:val="21"/>
                <w:sz w:val="24"/>
                <w:szCs w:val="24"/>
                <w:highlight w:val="none"/>
              </w:rPr>
              <w:t>YJV22-10-3×</w:t>
            </w:r>
            <w:r>
              <w:rPr>
                <w:rFonts w:hint="default" w:ascii="Times New Roman" w:hAnsi="Times New Roman" w:cs="Times New Roman"/>
                <w:snapToGrid w:val="0"/>
                <w:color w:val="auto"/>
                <w:kern w:val="21"/>
                <w:sz w:val="24"/>
                <w:szCs w:val="24"/>
                <w:highlight w:val="none"/>
                <w:lang w:val="en-US" w:eastAsia="zh-CN"/>
              </w:rPr>
              <w:t>120</w:t>
            </w:r>
          </w:p>
        </w:tc>
        <w:tc>
          <w:tcPr>
            <w:tcW w:w="1440" w:type="dxa"/>
            <w:noWrap w:val="0"/>
            <w:vAlign w:val="center"/>
          </w:tcPr>
          <w:p>
            <w:pPr>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b w:val="0"/>
                <w:bCs w:val="0"/>
                <w:smallCaps w:val="0"/>
                <w:snapToGrid w:val="0"/>
                <w:color w:val="auto"/>
                <w:spacing w:val="0"/>
                <w:kern w:val="18"/>
                <w:position w:val="0"/>
                <w:sz w:val="24"/>
                <w:szCs w:val="24"/>
                <w:highlight w:val="none"/>
                <w:lang w:val="en-US" w:eastAsia="zh-CN"/>
              </w:rPr>
              <w:t>277</w:t>
            </w:r>
          </w:p>
        </w:tc>
        <w:tc>
          <w:tcPr>
            <w:tcW w:w="1627" w:type="dxa"/>
            <w:noWrap w:val="0"/>
            <w:vAlign w:val="center"/>
          </w:tcPr>
          <w:p>
            <w:pPr>
              <w:adjustRightInd w:val="0"/>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224</w:t>
            </w:r>
          </w:p>
        </w:tc>
      </w:tr>
    </w:tbl>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zh-CN"/>
        </w:rPr>
        <w:t>注：钢芯铝绞线按载流量选择，电力电缆按动热稳定校验选择。</w:t>
      </w:r>
    </w:p>
    <w:bookmarkEnd w:id="225"/>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snapToGrid/>
        <w:spacing w:line="460" w:lineRule="exact"/>
        <w:textAlignment w:val="auto"/>
        <w:outlineLvl w:val="1"/>
        <w:rPr>
          <w:rFonts w:hint="default" w:ascii="Times New Roman" w:hAnsi="Times New Roman" w:eastAsia="宋体" w:cs="Times New Roman"/>
          <w:color w:val="auto"/>
          <w:kern w:val="21"/>
          <w:sz w:val="24"/>
          <w:szCs w:val="24"/>
          <w:highlight w:val="none"/>
        </w:rPr>
      </w:pPr>
      <w:bookmarkStart w:id="226" w:name="_Toc6156"/>
      <w:bookmarkStart w:id="227" w:name="_Toc13587"/>
      <w:r>
        <w:rPr>
          <w:rFonts w:hint="default" w:ascii="Times New Roman" w:hAnsi="Times New Roman" w:eastAsia="宋体" w:cs="Times New Roman"/>
          <w:color w:val="auto"/>
          <w:kern w:val="21"/>
          <w:sz w:val="24"/>
          <w:szCs w:val="24"/>
          <w:highlight w:val="none"/>
        </w:rPr>
        <w:t>3.</w:t>
      </w:r>
      <w:r>
        <w:rPr>
          <w:rFonts w:hint="default" w:ascii="Times New Roman" w:hAnsi="Times New Roman" w:eastAsia="宋体" w:cs="Times New Roman"/>
          <w:color w:val="auto"/>
          <w:kern w:val="21"/>
          <w:sz w:val="24"/>
          <w:szCs w:val="24"/>
          <w:highlight w:val="none"/>
          <w:lang w:val="en-US" w:eastAsia="zh-CN"/>
        </w:rPr>
        <w:t>3</w:t>
      </w:r>
      <w:r>
        <w:rPr>
          <w:rFonts w:hint="default" w:ascii="Times New Roman" w:hAnsi="Times New Roman" w:eastAsia="宋体" w:cs="Times New Roman"/>
          <w:color w:val="auto"/>
          <w:kern w:val="21"/>
          <w:sz w:val="24"/>
          <w:szCs w:val="24"/>
          <w:highlight w:val="none"/>
        </w:rPr>
        <w:t xml:space="preserve">  绝缘配合及过电压保护</w:t>
      </w:r>
      <w:bookmarkEnd w:id="226"/>
      <w:bookmarkEnd w:id="227"/>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rPr>
        <w:t xml:space="preserve">    本变电站地处海拔1000m以下地区，对电气设备的绝缘配合无特殊要求。绝缘配合按《高压输变电设备的绝缘配合》（GB311.1-2012）和《交流电气装置的过电压保护和绝缘配合》（GB/T 50064-2014）等标准规定进行设计。</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3</w:t>
      </w:r>
      <w:r>
        <w:rPr>
          <w:rFonts w:hint="default" w:ascii="Times New Roman" w:hAnsi="Times New Roman" w:eastAsia="宋体" w:cs="Times New Roman"/>
          <w:snapToGrid w:val="0"/>
          <w:color w:val="auto"/>
          <w:kern w:val="21"/>
          <w:sz w:val="24"/>
          <w:szCs w:val="24"/>
          <w:highlight w:val="none"/>
        </w:rPr>
        <w:t>.1  各级电压电气设备的绝缘配合</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3</w:t>
      </w:r>
      <w:r>
        <w:rPr>
          <w:rFonts w:hint="default" w:ascii="Times New Roman" w:hAnsi="Times New Roman" w:eastAsia="宋体" w:cs="Times New Roman"/>
          <w:snapToGrid w:val="0"/>
          <w:color w:val="auto"/>
          <w:kern w:val="21"/>
          <w:sz w:val="24"/>
          <w:szCs w:val="24"/>
          <w:highlight w:val="none"/>
        </w:rPr>
        <w:t>.1.1  110kV电气设备的绝缘配合</w:t>
      </w:r>
    </w:p>
    <w:p>
      <w:pPr>
        <w:keepNext w:val="0"/>
        <w:keepLines w:val="0"/>
        <w:pageBreakBefore w:val="0"/>
        <w:kinsoku/>
        <w:wordWrap/>
        <w:overflowPunct/>
        <w:topLinePunct w:val="0"/>
        <w:autoSpaceDE/>
        <w:autoSpaceDN/>
        <w:bidi w:val="0"/>
        <w:adjustRightInd/>
        <w:snapToGrid/>
        <w:spacing w:line="460" w:lineRule="exact"/>
        <w:ind w:firstLineChars="200"/>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rPr>
        <w:t>（1）</w:t>
      </w:r>
      <w:r>
        <w:rPr>
          <w:rFonts w:hint="default" w:ascii="Times New Roman" w:hAnsi="Times New Roman" w:eastAsia="宋体" w:cs="Times New Roman"/>
          <w:snapToGrid w:val="0"/>
          <w:color w:val="auto"/>
          <w:kern w:val="21"/>
          <w:sz w:val="24"/>
          <w:szCs w:val="24"/>
          <w:highlight w:val="none"/>
          <w:lang w:val="zh-CN"/>
        </w:rPr>
        <w:t>避雷器选择</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80" w:firstLineChars="200"/>
        <w:jc w:val="center"/>
        <w:textAlignment w:val="auto"/>
        <w:outlineLvl w:val="9"/>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110kV系统以雷电过电压决定电气设备的绝缘水平，在此条件下一般都能耐受操作过电压的作用，所以在绝缘配合中不考虑操作波试验电压的配合。</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主要技术参数见表3-</w:t>
      </w:r>
      <w:r>
        <w:rPr>
          <w:rFonts w:hint="default" w:ascii="Times New Roman" w:hAnsi="Times New Roman" w:eastAsia="宋体" w:cs="Times New Roman"/>
          <w:snapToGrid w:val="0"/>
          <w:color w:val="auto"/>
          <w:kern w:val="21"/>
          <w:sz w:val="24"/>
          <w:szCs w:val="24"/>
          <w:highlight w:val="none"/>
          <w:lang w:val="en-US" w:eastAsia="zh-CN"/>
        </w:rPr>
        <w:t>10</w:t>
      </w:r>
      <w:r>
        <w:rPr>
          <w:rFonts w:hint="default" w:ascii="Times New Roman" w:hAnsi="Times New Roman" w:eastAsia="宋体" w:cs="Times New Roman"/>
          <w:snapToGrid w:val="0"/>
          <w:color w:val="auto"/>
          <w:kern w:val="21"/>
          <w:sz w:val="24"/>
          <w:szCs w:val="24"/>
          <w:highlight w:val="none"/>
          <w:lang w:val="zh-CN"/>
        </w:rPr>
        <w:t>。</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表3-</w:t>
      </w:r>
      <w:r>
        <w:rPr>
          <w:rFonts w:hint="default" w:ascii="Times New Roman" w:hAnsi="Times New Roman" w:cs="Times New Roman"/>
          <w:snapToGrid w:val="0"/>
          <w:color w:val="auto"/>
          <w:kern w:val="21"/>
          <w:sz w:val="24"/>
          <w:szCs w:val="24"/>
          <w:highlight w:val="none"/>
          <w:lang w:val="en-US" w:eastAsia="zh-CN"/>
        </w:rPr>
        <w:t>10</w:t>
      </w:r>
      <w:r>
        <w:rPr>
          <w:rFonts w:hint="default" w:ascii="Times New Roman" w:hAnsi="Times New Roman" w:cs="Times New Roman"/>
          <w:snapToGrid w:val="0"/>
          <w:color w:val="auto"/>
          <w:kern w:val="21"/>
          <w:sz w:val="24"/>
          <w:szCs w:val="24"/>
          <w:highlight w:val="none"/>
        </w:rPr>
        <w:t xml:space="preserve"> 110kV氧化锌避雷器参数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5"/>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315" w:type="dxa"/>
            <w:tcBorders>
              <w:top w:val="single" w:color="auto" w:sz="12" w:space="0"/>
              <w:lef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项目</w:t>
            </w:r>
          </w:p>
        </w:tc>
        <w:tc>
          <w:tcPr>
            <w:tcW w:w="3199" w:type="dxa"/>
            <w:tcBorders>
              <w:top w:val="single" w:color="auto" w:sz="12"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母线避雷器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315" w:type="dxa"/>
            <w:tcBorders>
              <w:lef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额定电压（kV，有效值）</w:t>
            </w:r>
          </w:p>
        </w:tc>
        <w:tc>
          <w:tcPr>
            <w:tcW w:w="3199" w:type="dxa"/>
            <w:tcBorders>
              <w:righ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315" w:type="dxa"/>
            <w:tcBorders>
              <w:lef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最大持续运行电压（kV，有效值）</w:t>
            </w:r>
          </w:p>
        </w:tc>
        <w:tc>
          <w:tcPr>
            <w:tcW w:w="3199" w:type="dxa"/>
            <w:tcBorders>
              <w:righ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315" w:type="dxa"/>
            <w:tcBorders>
              <w:lef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操作冲击残压（kV，峰值）</w:t>
            </w:r>
          </w:p>
        </w:tc>
        <w:tc>
          <w:tcPr>
            <w:tcW w:w="3199" w:type="dxa"/>
            <w:tcBorders>
              <w:righ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315" w:type="dxa"/>
            <w:tcBorders>
              <w:lef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雷电冲击残压(8～20μs)10kA残压（kV，峰值）</w:t>
            </w:r>
          </w:p>
        </w:tc>
        <w:tc>
          <w:tcPr>
            <w:tcW w:w="3199" w:type="dxa"/>
            <w:tcBorders>
              <w:righ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315" w:type="dxa"/>
            <w:tcBorders>
              <w:left w:val="single" w:color="auto" w:sz="12" w:space="0"/>
              <w:bottom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陡坡冲击10kA残压(1μs)（kV，峰值）</w:t>
            </w:r>
          </w:p>
        </w:tc>
        <w:tc>
          <w:tcPr>
            <w:tcW w:w="3199" w:type="dxa"/>
            <w:tcBorders>
              <w:bottom w:val="single" w:color="auto" w:sz="12" w:space="0"/>
              <w:right w:val="single" w:color="auto" w:sz="12" w:space="0"/>
            </w:tcBorders>
            <w:noWrap w:val="0"/>
            <w:vAlign w:val="center"/>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297</w:t>
            </w:r>
          </w:p>
        </w:tc>
      </w:tr>
    </w:tbl>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zh-CN"/>
        </w:rPr>
        <w:t>110kV电气设备的绝缘配合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zh-CN"/>
        </w:rPr>
        <w:t>雷电冲击的配合以避雷器雷电冲击</w:t>
      </w:r>
      <w:r>
        <w:rPr>
          <w:rFonts w:hint="default" w:ascii="Times New Roman" w:hAnsi="Times New Roman" w:cs="Times New Roman"/>
          <w:snapToGrid w:val="0"/>
          <w:color w:val="auto"/>
          <w:kern w:val="21"/>
          <w:sz w:val="24"/>
          <w:szCs w:val="24"/>
          <w:highlight w:val="none"/>
        </w:rPr>
        <w:t>10</w:t>
      </w:r>
      <w:r>
        <w:rPr>
          <w:rFonts w:hint="default" w:ascii="Times New Roman" w:hAnsi="Times New Roman" w:cs="Times New Roman"/>
          <w:snapToGrid w:val="0"/>
          <w:color w:val="auto"/>
          <w:kern w:val="21"/>
          <w:sz w:val="24"/>
          <w:szCs w:val="24"/>
          <w:highlight w:val="none"/>
          <w:lang w:val="zh-CN"/>
        </w:rPr>
        <w:t>k</w:t>
      </w:r>
      <w:r>
        <w:rPr>
          <w:rFonts w:hint="default" w:ascii="Times New Roman" w:hAnsi="Times New Roman" w:cs="Times New Roman"/>
          <w:snapToGrid w:val="0"/>
          <w:color w:val="auto"/>
          <w:kern w:val="21"/>
          <w:sz w:val="24"/>
          <w:szCs w:val="24"/>
          <w:highlight w:val="none"/>
        </w:rPr>
        <w:t>A</w:t>
      </w:r>
      <w:r>
        <w:rPr>
          <w:rFonts w:hint="default" w:ascii="Times New Roman" w:hAnsi="Times New Roman" w:cs="Times New Roman"/>
          <w:snapToGrid w:val="0"/>
          <w:color w:val="auto"/>
          <w:kern w:val="21"/>
          <w:sz w:val="24"/>
          <w:szCs w:val="24"/>
          <w:highlight w:val="none"/>
          <w:lang w:val="zh-CN"/>
        </w:rPr>
        <w:t>残压为基准，配合系数取1.4选择。详见表3-</w:t>
      </w: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表3-1</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rPr>
        <w:t xml:space="preserve"> 110kV电气设备的绝缘配合</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1570"/>
        <w:gridCol w:w="1570"/>
        <w:gridCol w:w="1153"/>
        <w:gridCol w:w="130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vMerge w:val="restart"/>
            <w:tcBorders>
              <w:top w:val="single" w:color="auto" w:sz="12"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试验电压</w:t>
            </w:r>
          </w:p>
          <w:p>
            <w:pPr>
              <w:adjustRightInd w:val="0"/>
              <w:rPr>
                <w:rFonts w:hint="default" w:ascii="Times New Roman" w:hAnsi="Times New Roman" w:cs="Times New Roman"/>
                <w:color w:val="auto"/>
                <w:sz w:val="24"/>
                <w:szCs w:val="24"/>
                <w:highlight w:val="none"/>
              </w:rPr>
            </w:pPr>
          </w:p>
          <w:p>
            <w:pPr>
              <w:adjustRightInd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设备名称</w:t>
            </w:r>
          </w:p>
        </w:tc>
        <w:tc>
          <w:tcPr>
            <w:tcW w:w="6903" w:type="dxa"/>
            <w:gridSpan w:val="5"/>
            <w:tcBorders>
              <w:top w:val="single" w:color="auto" w:sz="12" w:space="0"/>
              <w:left w:val="single" w:color="auto" w:sz="4" w:space="0"/>
              <w:bottom w:val="single" w:color="auto" w:sz="4"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设备耐受电压值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vMerge w:val="continue"/>
            <w:tcBorders>
              <w:top w:val="single" w:color="auto" w:sz="4"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42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雷电冲击耐压（kV，峰值）</w:t>
            </w:r>
          </w:p>
        </w:tc>
        <w:tc>
          <w:tcPr>
            <w:tcW w:w="2610" w:type="dxa"/>
            <w:gridSpan w:val="2"/>
            <w:vMerge w:val="restart"/>
            <w:tcBorders>
              <w:top w:val="single" w:color="auto" w:sz="4" w:space="0"/>
              <w:left w:val="single" w:color="auto" w:sz="4" w:space="0"/>
              <w:bottom w:val="single" w:color="auto" w:sz="4"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1min工频耐压</w:t>
            </w:r>
          </w:p>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（kV，有效值）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vMerge w:val="continue"/>
            <w:tcBorders>
              <w:top w:val="single" w:color="auto" w:sz="4"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3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全波</w:t>
            </w:r>
          </w:p>
        </w:tc>
        <w:tc>
          <w:tcPr>
            <w:tcW w:w="11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截波</w:t>
            </w:r>
          </w:p>
        </w:tc>
        <w:tc>
          <w:tcPr>
            <w:tcW w:w="2610" w:type="dxa"/>
            <w:gridSpan w:val="2"/>
            <w:vMerge w:val="continue"/>
            <w:tcBorders>
              <w:top w:val="single" w:color="auto" w:sz="4" w:space="0"/>
              <w:left w:val="single" w:color="auto" w:sz="4" w:space="0"/>
              <w:bottom w:val="single" w:color="auto" w:sz="4"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tcBorders>
              <w:top w:val="single" w:color="auto" w:sz="4"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内绝缘</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外绝缘</w:t>
            </w:r>
          </w:p>
        </w:tc>
        <w:tc>
          <w:tcPr>
            <w:tcW w:w="115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内绝缘</w:t>
            </w:r>
          </w:p>
        </w:tc>
        <w:tc>
          <w:tcPr>
            <w:tcW w:w="1305" w:type="dxa"/>
            <w:tcBorders>
              <w:top w:val="single" w:color="auto" w:sz="4" w:space="0"/>
              <w:left w:val="single" w:color="auto" w:sz="4" w:space="0"/>
              <w:bottom w:val="single" w:color="auto" w:sz="4" w:space="0"/>
              <w:right w:val="single" w:color="auto" w:sz="12" w:space="0"/>
            </w:tcBorders>
            <w:noWrap w:val="0"/>
            <w:vAlign w:val="center"/>
          </w:tcPr>
          <w:p>
            <w:pPr>
              <w:adjustRightInd w:val="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外绝缘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tcBorders>
              <w:top w:val="single" w:color="auto" w:sz="4"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480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450</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200</w:t>
            </w:r>
          </w:p>
        </w:tc>
        <w:tc>
          <w:tcPr>
            <w:tcW w:w="1305" w:type="dxa"/>
            <w:tcBorders>
              <w:top w:val="single" w:color="auto" w:sz="4" w:space="0"/>
              <w:left w:val="single" w:color="auto" w:sz="4" w:space="0"/>
              <w:bottom w:val="single" w:color="auto" w:sz="4"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tcBorders>
              <w:top w:val="single" w:color="auto" w:sz="4"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其它电器</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550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550</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230</w:t>
            </w:r>
          </w:p>
        </w:tc>
        <w:tc>
          <w:tcPr>
            <w:tcW w:w="1305" w:type="dxa"/>
            <w:tcBorders>
              <w:top w:val="single" w:color="auto" w:sz="4" w:space="0"/>
              <w:left w:val="single" w:color="auto" w:sz="4" w:space="0"/>
              <w:bottom w:val="single" w:color="auto" w:sz="4"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tcBorders>
              <w:top w:val="single" w:color="auto" w:sz="4" w:space="0"/>
              <w:left w:val="single" w:color="auto" w:sz="12"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断路器断口间</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550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550</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230</w:t>
            </w:r>
          </w:p>
        </w:tc>
        <w:tc>
          <w:tcPr>
            <w:tcW w:w="1305" w:type="dxa"/>
            <w:tcBorders>
              <w:top w:val="single" w:color="auto" w:sz="4" w:space="0"/>
              <w:left w:val="single" w:color="auto" w:sz="4" w:space="0"/>
              <w:bottom w:val="single" w:color="auto" w:sz="4"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1" w:type="dxa"/>
            <w:tcBorders>
              <w:top w:val="single" w:color="auto" w:sz="4" w:space="0"/>
              <w:left w:val="single" w:color="auto" w:sz="12" w:space="0"/>
              <w:bottom w:val="single" w:color="auto" w:sz="12"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隔离开关断口间</w:t>
            </w:r>
          </w:p>
        </w:tc>
        <w:tc>
          <w:tcPr>
            <w:tcW w:w="1570" w:type="dxa"/>
            <w:tcBorders>
              <w:top w:val="single" w:color="auto" w:sz="4" w:space="0"/>
              <w:left w:val="single" w:color="auto" w:sz="4" w:space="0"/>
              <w:bottom w:val="single" w:color="auto" w:sz="12"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1570" w:type="dxa"/>
            <w:tcBorders>
              <w:top w:val="single" w:color="auto" w:sz="4" w:space="0"/>
              <w:left w:val="single" w:color="auto" w:sz="4" w:space="0"/>
              <w:bottom w:val="single" w:color="auto" w:sz="12"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630</w:t>
            </w:r>
          </w:p>
        </w:tc>
        <w:tc>
          <w:tcPr>
            <w:tcW w:w="1153" w:type="dxa"/>
            <w:tcBorders>
              <w:top w:val="single" w:color="auto" w:sz="4" w:space="0"/>
              <w:left w:val="single" w:color="auto" w:sz="4" w:space="0"/>
              <w:bottom w:val="single" w:color="auto" w:sz="12" w:space="0"/>
              <w:right w:val="single" w:color="auto" w:sz="4" w:space="0"/>
            </w:tcBorders>
            <w:noWrap w:val="0"/>
            <w:vAlign w:val="center"/>
          </w:tcPr>
          <w:p>
            <w:pPr>
              <w:adjustRightInd w:val="0"/>
              <w:jc w:val="center"/>
              <w:rPr>
                <w:rFonts w:hint="default" w:ascii="Times New Roman" w:hAnsi="Times New Roman" w:cs="Times New Roman"/>
                <w:color w:val="auto"/>
                <w:sz w:val="24"/>
                <w:szCs w:val="24"/>
                <w:highlight w:val="none"/>
              </w:rPr>
            </w:pPr>
          </w:p>
        </w:tc>
        <w:tc>
          <w:tcPr>
            <w:tcW w:w="1305" w:type="dxa"/>
            <w:tcBorders>
              <w:top w:val="single" w:color="auto" w:sz="4" w:space="0"/>
              <w:left w:val="single" w:color="auto" w:sz="4" w:space="0"/>
              <w:bottom w:val="single" w:color="auto" w:sz="12" w:space="0"/>
              <w:right w:val="single" w:color="auto" w:sz="4" w:space="0"/>
            </w:tcBorders>
            <w:noWrap w:val="0"/>
            <w:vAlign w:val="center"/>
          </w:tcPr>
          <w:p>
            <w:pPr>
              <w:adjustRightInd w:val="0"/>
              <w:ind w:firstLine="360" w:firstLineChars="1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265</w:t>
            </w:r>
          </w:p>
        </w:tc>
        <w:tc>
          <w:tcPr>
            <w:tcW w:w="1305" w:type="dxa"/>
            <w:tcBorders>
              <w:top w:val="single" w:color="auto" w:sz="4" w:space="0"/>
              <w:left w:val="single" w:color="auto" w:sz="4" w:space="0"/>
              <w:bottom w:val="single" w:color="auto" w:sz="12" w:space="0"/>
              <w:right w:val="single" w:color="auto" w:sz="12" w:space="0"/>
            </w:tcBorders>
            <w:noWrap w:val="0"/>
            <w:vAlign w:val="center"/>
          </w:tcPr>
          <w:p>
            <w:pPr>
              <w:adjustRightIn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265</w:t>
            </w:r>
          </w:p>
        </w:tc>
      </w:tr>
    </w:tbl>
    <w:p>
      <w:pPr>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*仅电流互感器承受截波耐压试验</w:t>
      </w:r>
    </w:p>
    <w:p>
      <w:pPr>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3.</w:t>
      </w:r>
      <w:r>
        <w:rPr>
          <w:rFonts w:hint="default" w:ascii="Times New Roman" w:hAnsi="Times New Roman" w:eastAsia="宋体" w:cs="Times New Roman"/>
          <w:snapToGrid w:val="0"/>
          <w:color w:val="auto"/>
          <w:kern w:val="21"/>
          <w:sz w:val="24"/>
          <w:szCs w:val="24"/>
          <w:highlight w:val="none"/>
          <w:lang w:val="en-US" w:eastAsia="zh-CN"/>
        </w:rPr>
        <w:t>3</w:t>
      </w:r>
      <w:r>
        <w:rPr>
          <w:rFonts w:hint="default" w:ascii="Times New Roman" w:hAnsi="Times New Roman" w:eastAsia="宋体" w:cs="Times New Roman"/>
          <w:snapToGrid w:val="0"/>
          <w:color w:val="auto"/>
          <w:kern w:val="21"/>
          <w:sz w:val="24"/>
          <w:szCs w:val="24"/>
          <w:highlight w:val="none"/>
          <w:lang w:val="zh-CN"/>
        </w:rPr>
        <w:t>.1.</w:t>
      </w:r>
      <w:r>
        <w:rPr>
          <w:rFonts w:hint="default" w:ascii="Times New Roman" w:hAnsi="Times New Roman" w:eastAsia="宋体" w:cs="Times New Roman"/>
          <w:snapToGrid w:val="0"/>
          <w:color w:val="auto"/>
          <w:kern w:val="21"/>
          <w:sz w:val="24"/>
          <w:szCs w:val="24"/>
          <w:highlight w:val="none"/>
        </w:rPr>
        <w:t>2</w:t>
      </w:r>
      <w:r>
        <w:rPr>
          <w:rFonts w:hint="default" w:ascii="Times New Roman" w:hAnsi="Times New Roman" w:eastAsia="宋体" w:cs="Times New Roman"/>
          <w:snapToGrid w:val="0"/>
          <w:color w:val="auto"/>
          <w:kern w:val="21"/>
          <w:sz w:val="24"/>
          <w:szCs w:val="24"/>
          <w:highlight w:val="none"/>
          <w:lang w:val="zh-CN"/>
        </w:rPr>
        <w:t xml:space="preserve"> 10kV电气设备的绝缘配合</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（1）避雷器选择</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避雷器选择：根据《交流电气装置的过电压保护绝缘配合》第4.2.6条所述“保护变压器的避雷器可装在其高压侧或低压侧。但高低压侧系统接地方式不同时，低压侧宜装设操作过电压保护水平较低的避雷器”，因此</w:t>
      </w:r>
      <w:r>
        <w:rPr>
          <w:rFonts w:hint="default" w:ascii="Times New Roman" w:hAnsi="Times New Roman" w:eastAsia="宋体" w:cs="Times New Roman"/>
          <w:snapToGrid w:val="0"/>
          <w:color w:val="auto"/>
          <w:kern w:val="21"/>
          <w:sz w:val="24"/>
          <w:szCs w:val="24"/>
          <w:highlight w:val="none"/>
        </w:rPr>
        <w:t>主变低压侧及</w:t>
      </w:r>
      <w:r>
        <w:rPr>
          <w:rFonts w:hint="default" w:ascii="Times New Roman" w:hAnsi="Times New Roman" w:eastAsia="宋体" w:cs="Times New Roman"/>
          <w:snapToGrid w:val="0"/>
          <w:color w:val="auto"/>
          <w:kern w:val="21"/>
          <w:sz w:val="24"/>
          <w:szCs w:val="24"/>
          <w:highlight w:val="none"/>
          <w:lang w:val="zh-CN"/>
        </w:rPr>
        <w:t>10kV母线配置氧化锌避雷器。</w:t>
      </w: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lang w:val="zh-CN"/>
        </w:rPr>
        <w:t>主要技术参数见表3-1</w:t>
      </w: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zh-CN"/>
        </w:rPr>
        <w:t>。</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表3-1</w:t>
      </w: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zh-CN"/>
        </w:rPr>
        <w:t xml:space="preserve"> 10kV氧化锌避雷器参数表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7"/>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927" w:type="dxa"/>
            <w:tcBorders>
              <w:top w:val="single" w:color="auto" w:sz="12" w:space="0"/>
              <w:left w:val="single" w:color="auto" w:sz="12" w:space="0"/>
              <w:bottom w:val="single" w:color="auto" w:sz="4" w:space="0"/>
              <w:right w:val="single" w:color="auto" w:sz="4" w:space="0"/>
            </w:tcBorders>
            <w:noWrap w:val="0"/>
            <w:vAlign w:val="top"/>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项目</w:t>
            </w:r>
          </w:p>
        </w:tc>
        <w:tc>
          <w:tcPr>
            <w:tcW w:w="3587" w:type="dxa"/>
            <w:tcBorders>
              <w:top w:val="single" w:color="auto" w:sz="12" w:space="0"/>
              <w:left w:val="single" w:color="auto" w:sz="4" w:space="0"/>
              <w:bottom w:val="single" w:color="auto" w:sz="4" w:space="0"/>
              <w:right w:val="single" w:color="auto" w:sz="12" w:space="0"/>
            </w:tcBorders>
            <w:noWrap w:val="0"/>
            <w:vAlign w:val="top"/>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避雷器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927" w:type="dxa"/>
            <w:tcBorders>
              <w:top w:val="single" w:color="auto" w:sz="4" w:space="0"/>
              <w:left w:val="single" w:color="auto" w:sz="12" w:space="0"/>
              <w:bottom w:val="single" w:color="auto" w:sz="4" w:space="0"/>
              <w:right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额定电压（kV，有效值）</w:t>
            </w:r>
          </w:p>
        </w:tc>
        <w:tc>
          <w:tcPr>
            <w:tcW w:w="3587" w:type="dxa"/>
            <w:tcBorders>
              <w:top w:val="single" w:color="auto" w:sz="4" w:space="0"/>
              <w:left w:val="single" w:color="auto" w:sz="4" w:space="0"/>
              <w:bottom w:val="single" w:color="auto" w:sz="4" w:space="0"/>
              <w:right w:val="single" w:color="auto" w:sz="12"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927" w:type="dxa"/>
            <w:tcBorders>
              <w:top w:val="single" w:color="auto" w:sz="4" w:space="0"/>
              <w:left w:val="single" w:color="auto" w:sz="12" w:space="0"/>
              <w:bottom w:val="single" w:color="auto" w:sz="4" w:space="0"/>
              <w:right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最大持续运行电压（kV，有效值）</w:t>
            </w:r>
          </w:p>
        </w:tc>
        <w:tc>
          <w:tcPr>
            <w:tcW w:w="3587" w:type="dxa"/>
            <w:tcBorders>
              <w:top w:val="single" w:color="auto" w:sz="4" w:space="0"/>
              <w:left w:val="single" w:color="auto" w:sz="4" w:space="0"/>
              <w:bottom w:val="single" w:color="auto" w:sz="4" w:space="0"/>
              <w:right w:val="single" w:color="auto" w:sz="12" w:space="0"/>
            </w:tcBorders>
            <w:noWrap w:val="0"/>
            <w:vAlign w:val="top"/>
          </w:tcPr>
          <w:p>
            <w:pPr>
              <w:tabs>
                <w:tab w:val="center" w:pos="1476"/>
                <w:tab w:val="right" w:pos="2953"/>
              </w:tabs>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ab/>
            </w:r>
            <w:r>
              <w:rPr>
                <w:rFonts w:hint="default" w:ascii="Times New Roman" w:hAnsi="Times New Roman" w:eastAsia="宋体" w:cs="Times New Roman"/>
                <w:snapToGrid w:val="0"/>
                <w:color w:val="auto"/>
                <w:kern w:val="21"/>
                <w:sz w:val="24"/>
                <w:szCs w:val="24"/>
                <w:highlight w:val="none"/>
              </w:rPr>
              <w:t>13.6</w:t>
            </w:r>
            <w:r>
              <w:rPr>
                <w:rFonts w:hint="default" w:ascii="Times New Roman" w:hAnsi="Times New Roman" w:eastAsia="宋体" w:cs="Times New Roman"/>
                <w:snapToGrid w:val="0"/>
                <w:color w:val="auto"/>
                <w:kern w:val="21"/>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927" w:type="dxa"/>
            <w:tcBorders>
              <w:top w:val="single" w:color="auto" w:sz="4" w:space="0"/>
              <w:left w:val="single" w:color="auto" w:sz="12" w:space="0"/>
              <w:bottom w:val="single" w:color="auto" w:sz="4" w:space="0"/>
              <w:right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操作冲击残压（kV，峰值）</w:t>
            </w:r>
          </w:p>
        </w:tc>
        <w:tc>
          <w:tcPr>
            <w:tcW w:w="3587" w:type="dxa"/>
            <w:tcBorders>
              <w:top w:val="single" w:color="auto" w:sz="4" w:space="0"/>
              <w:left w:val="single" w:color="auto" w:sz="4" w:space="0"/>
              <w:bottom w:val="single" w:color="auto" w:sz="4" w:space="0"/>
              <w:right w:val="single" w:color="auto" w:sz="12"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927" w:type="dxa"/>
            <w:tcBorders>
              <w:top w:val="single" w:color="auto" w:sz="4" w:space="0"/>
              <w:left w:val="single" w:color="auto" w:sz="12" w:space="0"/>
              <w:bottom w:val="single" w:color="auto" w:sz="4" w:space="0"/>
              <w:right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雷电冲击（8/20µs）5kA残压（kV，峰值）</w:t>
            </w:r>
          </w:p>
        </w:tc>
        <w:tc>
          <w:tcPr>
            <w:tcW w:w="3587" w:type="dxa"/>
            <w:tcBorders>
              <w:top w:val="single" w:color="auto" w:sz="4" w:space="0"/>
              <w:left w:val="single" w:color="auto" w:sz="4" w:space="0"/>
              <w:bottom w:val="single" w:color="auto" w:sz="4" w:space="0"/>
              <w:right w:val="single" w:color="auto" w:sz="12"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27" w:type="dxa"/>
            <w:tcBorders>
              <w:top w:val="single" w:color="auto" w:sz="4" w:space="0"/>
              <w:left w:val="single" w:color="auto" w:sz="12" w:space="0"/>
              <w:bottom w:val="single" w:color="auto" w:sz="12" w:space="0"/>
              <w:right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陡波冲击（1µs）5kA残压（kV，峰值）</w:t>
            </w:r>
          </w:p>
        </w:tc>
        <w:tc>
          <w:tcPr>
            <w:tcW w:w="3587" w:type="dxa"/>
            <w:tcBorders>
              <w:top w:val="single" w:color="auto" w:sz="4" w:space="0"/>
              <w:left w:val="single" w:color="auto" w:sz="4" w:space="0"/>
              <w:bottom w:val="single" w:color="auto" w:sz="12" w:space="0"/>
              <w:right w:val="single" w:color="auto" w:sz="12"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51.8</w:t>
            </w:r>
          </w:p>
        </w:tc>
      </w:tr>
    </w:tbl>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zh-CN"/>
        </w:rPr>
        <w:t>10kV电气设备的绝缘配合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雷电冲击的配合以避雷器雷电冲击</w:t>
      </w:r>
      <w:r>
        <w:rPr>
          <w:rFonts w:hint="default" w:ascii="Times New Roman" w:hAnsi="Times New Roman" w:cs="Times New Roman"/>
          <w:snapToGrid w:val="0"/>
          <w:color w:val="auto"/>
          <w:kern w:val="21"/>
          <w:sz w:val="24"/>
          <w:szCs w:val="24"/>
          <w:highlight w:val="none"/>
        </w:rPr>
        <w:t>5</w:t>
      </w:r>
      <w:r>
        <w:rPr>
          <w:rFonts w:hint="default" w:ascii="Times New Roman" w:hAnsi="Times New Roman" w:cs="Times New Roman"/>
          <w:snapToGrid w:val="0"/>
          <w:color w:val="auto"/>
          <w:kern w:val="21"/>
          <w:sz w:val="24"/>
          <w:szCs w:val="24"/>
          <w:highlight w:val="none"/>
          <w:lang w:val="zh-CN"/>
        </w:rPr>
        <w:t>k</w:t>
      </w:r>
      <w:r>
        <w:rPr>
          <w:rFonts w:hint="default" w:ascii="Times New Roman" w:hAnsi="Times New Roman" w:cs="Times New Roman"/>
          <w:snapToGrid w:val="0"/>
          <w:color w:val="auto"/>
          <w:kern w:val="21"/>
          <w:sz w:val="24"/>
          <w:szCs w:val="24"/>
          <w:highlight w:val="none"/>
        </w:rPr>
        <w:t>A</w:t>
      </w:r>
      <w:r>
        <w:rPr>
          <w:rFonts w:hint="default" w:ascii="Times New Roman" w:hAnsi="Times New Roman" w:cs="Times New Roman"/>
          <w:snapToGrid w:val="0"/>
          <w:color w:val="auto"/>
          <w:kern w:val="21"/>
          <w:sz w:val="24"/>
          <w:szCs w:val="24"/>
          <w:highlight w:val="none"/>
          <w:lang w:val="zh-CN"/>
        </w:rPr>
        <w:t>残压为基准，配合系数取1.4选择。详见表3-1</w:t>
      </w:r>
      <w:r>
        <w:rPr>
          <w:rFonts w:hint="default" w:ascii="Times New Roman" w:hAns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表3-1</w:t>
      </w:r>
      <w:r>
        <w:rPr>
          <w:rFonts w:hint="default" w:ascii="Times New Roman" w:hAns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rPr>
        <w:t xml:space="preserve"> 10kV电气设备绝缘水平表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1461"/>
        <w:gridCol w:w="1294"/>
        <w:gridCol w:w="1145"/>
        <w:gridCol w:w="170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65" w:type="dxa"/>
            <w:vMerge w:val="restart"/>
            <w:tcBorders>
              <w:top w:val="single" w:color="auto" w:sz="12"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设 备</w:t>
            </w:r>
          </w:p>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名 称</w:t>
            </w:r>
          </w:p>
        </w:tc>
        <w:tc>
          <w:tcPr>
            <w:tcW w:w="7149" w:type="dxa"/>
            <w:gridSpan w:val="5"/>
            <w:tcBorders>
              <w:top w:val="single" w:color="auto" w:sz="12"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设备耐受电压值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65" w:type="dxa"/>
            <w:vMerge w:val="continue"/>
            <w:tcBorders>
              <w:top w:val="single" w:color="auto" w:sz="4"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39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雷电冲击耐压(kV,峰值)</w:t>
            </w:r>
          </w:p>
        </w:tc>
        <w:tc>
          <w:tcPr>
            <w:tcW w:w="3249" w:type="dxa"/>
            <w:gridSpan w:val="2"/>
            <w:tcBorders>
              <w:top w:val="single" w:color="auto" w:sz="4"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1min工频耐压(kV,峰值)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65" w:type="dxa"/>
            <w:vMerge w:val="continue"/>
            <w:tcBorders>
              <w:top w:val="single" w:color="auto" w:sz="4"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27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全  波</w:t>
            </w:r>
          </w:p>
        </w:tc>
        <w:tc>
          <w:tcPr>
            <w:tcW w:w="114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截波</w:t>
            </w:r>
          </w:p>
        </w:tc>
        <w:tc>
          <w:tcPr>
            <w:tcW w:w="3249" w:type="dxa"/>
            <w:gridSpan w:val="2"/>
            <w:tcBorders>
              <w:top w:val="single" w:color="auto" w:sz="4"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365" w:type="dxa"/>
            <w:vMerge w:val="continue"/>
            <w:tcBorders>
              <w:top w:val="single" w:color="auto" w:sz="4"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内绝缘</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外绝缘</w:t>
            </w:r>
          </w:p>
        </w:tc>
        <w:tc>
          <w:tcPr>
            <w:tcW w:w="114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内绝缘</w:t>
            </w:r>
          </w:p>
        </w:tc>
        <w:tc>
          <w:tcPr>
            <w:tcW w:w="1544" w:type="dxa"/>
            <w:tcBorders>
              <w:top w:val="single" w:color="auto" w:sz="4"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外绝缘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65" w:type="dxa"/>
            <w:tcBorders>
              <w:top w:val="single" w:color="auto" w:sz="4"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主变压器低压侧</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75</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75</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35</w:t>
            </w:r>
          </w:p>
        </w:tc>
        <w:tc>
          <w:tcPr>
            <w:tcW w:w="1544" w:type="dxa"/>
            <w:tcBorders>
              <w:top w:val="single" w:color="auto" w:sz="4"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65" w:type="dxa"/>
            <w:tcBorders>
              <w:top w:val="single" w:color="auto" w:sz="4"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其他电器</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75</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75</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w:t>
            </w:r>
          </w:p>
        </w:tc>
        <w:tc>
          <w:tcPr>
            <w:tcW w:w="1544" w:type="dxa"/>
            <w:tcBorders>
              <w:top w:val="single" w:color="auto" w:sz="4"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65" w:type="dxa"/>
            <w:tcBorders>
              <w:top w:val="single" w:color="auto" w:sz="4" w:space="0"/>
              <w:left w:val="single" w:color="auto" w:sz="12"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断路器断口间</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75</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75</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w:t>
            </w:r>
          </w:p>
        </w:tc>
        <w:tc>
          <w:tcPr>
            <w:tcW w:w="1544" w:type="dxa"/>
            <w:tcBorders>
              <w:top w:val="single" w:color="auto" w:sz="4" w:space="0"/>
              <w:left w:val="single" w:color="auto" w:sz="4" w:space="0"/>
              <w:bottom w:val="single" w:color="auto" w:sz="4"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5" w:type="dxa"/>
            <w:tcBorders>
              <w:top w:val="single" w:color="auto" w:sz="4" w:space="0"/>
              <w:left w:val="single" w:color="auto" w:sz="12" w:space="0"/>
              <w:bottom w:val="single" w:color="auto" w:sz="12"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隔离开关断口间</w:t>
            </w:r>
          </w:p>
        </w:tc>
        <w:tc>
          <w:tcPr>
            <w:tcW w:w="1461" w:type="dxa"/>
            <w:tcBorders>
              <w:top w:val="single" w:color="auto" w:sz="4" w:space="0"/>
              <w:left w:val="single" w:color="auto" w:sz="4" w:space="0"/>
              <w:bottom w:val="single" w:color="auto" w:sz="12"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294" w:type="dxa"/>
            <w:tcBorders>
              <w:top w:val="single" w:color="auto" w:sz="4" w:space="0"/>
              <w:left w:val="single" w:color="auto" w:sz="4" w:space="0"/>
              <w:bottom w:val="single" w:color="auto" w:sz="12"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85</w:t>
            </w:r>
          </w:p>
        </w:tc>
        <w:tc>
          <w:tcPr>
            <w:tcW w:w="1145" w:type="dxa"/>
            <w:tcBorders>
              <w:top w:val="single" w:color="auto" w:sz="4" w:space="0"/>
              <w:left w:val="single" w:color="auto" w:sz="4" w:space="0"/>
              <w:bottom w:val="single" w:color="auto" w:sz="12"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705" w:type="dxa"/>
            <w:tcBorders>
              <w:top w:val="single" w:color="auto" w:sz="4" w:space="0"/>
              <w:left w:val="single" w:color="auto" w:sz="4" w:space="0"/>
              <w:bottom w:val="single" w:color="auto" w:sz="12" w:space="0"/>
              <w:right w:val="single" w:color="auto" w:sz="4"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p>
        </w:tc>
        <w:tc>
          <w:tcPr>
            <w:tcW w:w="1544" w:type="dxa"/>
            <w:tcBorders>
              <w:top w:val="single" w:color="auto" w:sz="4" w:space="0"/>
              <w:left w:val="single" w:color="auto" w:sz="4" w:space="0"/>
              <w:bottom w:val="single" w:color="auto" w:sz="12" w:space="0"/>
              <w:right w:val="single" w:color="auto" w:sz="12" w:space="0"/>
            </w:tcBorders>
            <w:noWrap w:val="0"/>
            <w:vAlign w:val="center"/>
          </w:tcPr>
          <w:p>
            <w:pPr>
              <w:adjustRightInd w:val="0"/>
              <w:spacing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49</w:t>
            </w:r>
          </w:p>
        </w:tc>
      </w:tr>
    </w:tbl>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color w:val="auto"/>
          <w:kern w:val="4"/>
          <w:sz w:val="24"/>
          <w:szCs w:val="24"/>
          <w:highlight w:val="none"/>
        </w:rPr>
      </w:pPr>
      <w:r>
        <w:rPr>
          <w:rFonts w:hint="default" w:ascii="Times New Roman" w:hAnsi="Times New Roman" w:eastAsia="宋体" w:cs="Times New Roman"/>
          <w:snapToGrid w:val="0"/>
          <w:color w:val="auto"/>
          <w:kern w:val="21"/>
          <w:sz w:val="24"/>
          <w:szCs w:val="24"/>
          <w:highlight w:val="none"/>
          <w:lang w:val="zh-CN"/>
        </w:rPr>
        <w:t>变电站防雷电侵入波。</w:t>
      </w:r>
    </w:p>
    <w:p>
      <w:pPr>
        <w:keepNext w:val="0"/>
        <w:keepLines w:val="0"/>
        <w:pageBreakBefore w:val="0"/>
        <w:kinsoku/>
        <w:wordWrap/>
        <w:overflowPunct/>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rPr>
        <w:t xml:space="preserve">    </w:t>
      </w:r>
      <w:r>
        <w:rPr>
          <w:rFonts w:hint="default" w:ascii="Times New Roman" w:hAnsi="Times New Roman" w:eastAsia="宋体" w:cs="Times New Roman"/>
          <w:snapToGrid w:val="0"/>
          <w:color w:val="auto"/>
          <w:kern w:val="21"/>
          <w:sz w:val="24"/>
          <w:szCs w:val="24"/>
          <w:highlight w:val="none"/>
          <w:lang w:val="zh-CN"/>
        </w:rPr>
        <w:t>站内为防止线路侵入的雷电波过电压和运行操作产生的过电压，在110kV、10kV每段母线上分别安装氧化锌避雷器，为保护主变压器中性点绝缘在主变中性点装设避雷器及放电间隙，10kV并联电容器组装设氧化锌避雷器保护。</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yellow"/>
          <w:lang w:val="zh-CN"/>
        </w:rPr>
      </w:pPr>
      <w:r>
        <w:rPr>
          <w:rFonts w:hint="default" w:ascii="Times New Roman" w:hAnsi="Times New Roman" w:eastAsia="宋体" w:cs="Times New Roman"/>
          <w:snapToGrid w:val="0"/>
          <w:color w:val="auto"/>
          <w:kern w:val="21"/>
          <w:sz w:val="24"/>
          <w:szCs w:val="24"/>
          <w:highlight w:val="none"/>
          <w:lang w:val="zh-CN"/>
        </w:rPr>
        <w:t>本</w:t>
      </w:r>
      <w:r>
        <w:rPr>
          <w:rFonts w:hint="default" w:ascii="Times New Roman" w:hAnsi="Times New Roman" w:eastAsia="宋体" w:cs="Times New Roman"/>
          <w:snapToGrid w:val="0"/>
          <w:color w:val="auto"/>
          <w:kern w:val="21"/>
          <w:sz w:val="24"/>
          <w:szCs w:val="24"/>
          <w:highlight w:val="none"/>
          <w:lang w:val="en-US" w:eastAsia="zh-CN"/>
        </w:rPr>
        <w:t>工程只涉及到1</w:t>
      </w:r>
      <w:r>
        <w:rPr>
          <w:rFonts w:hint="default" w:ascii="Times New Roman" w:hAnsi="Times New Roman" w:eastAsia="宋体" w:cs="Times New Roman"/>
          <w:snapToGrid w:val="0"/>
          <w:color w:val="auto"/>
          <w:kern w:val="21"/>
          <w:sz w:val="24"/>
          <w:szCs w:val="24"/>
          <w:highlight w:val="none"/>
          <w:lang w:val="zh-CN"/>
        </w:rPr>
        <w:t>0kV进线、</w:t>
      </w:r>
      <w:r>
        <w:rPr>
          <w:rFonts w:hint="default" w:ascii="Times New Roman" w:hAnsi="Times New Roman" w:eastAsia="宋体" w:cs="Times New Roman"/>
          <w:snapToGrid w:val="0"/>
          <w:color w:val="auto"/>
          <w:kern w:val="21"/>
          <w:sz w:val="24"/>
          <w:szCs w:val="24"/>
          <w:highlight w:val="none"/>
          <w:lang w:val="en-US" w:eastAsia="zh-CN"/>
        </w:rPr>
        <w:t>10</w:t>
      </w:r>
      <w:r>
        <w:rPr>
          <w:rFonts w:hint="default" w:ascii="Times New Roman" w:hAnsi="Times New Roman" w:eastAsia="宋体" w:cs="Times New Roman"/>
          <w:snapToGrid w:val="0"/>
          <w:color w:val="auto"/>
          <w:kern w:val="21"/>
          <w:sz w:val="24"/>
          <w:szCs w:val="24"/>
          <w:highlight w:val="none"/>
          <w:lang w:val="zh-CN"/>
        </w:rPr>
        <w:t>kV</w:t>
      </w:r>
      <w:r>
        <w:rPr>
          <w:rFonts w:hint="default" w:ascii="Times New Roman" w:hAnsi="Times New Roman" w:eastAsia="宋体" w:cs="Times New Roman"/>
          <w:snapToGrid w:val="0"/>
          <w:color w:val="auto"/>
          <w:kern w:val="21"/>
          <w:sz w:val="24"/>
          <w:szCs w:val="24"/>
          <w:highlight w:val="none"/>
          <w:lang w:val="en-US" w:eastAsia="zh-CN"/>
        </w:rPr>
        <w:t>出线柜及</w:t>
      </w:r>
      <w:r>
        <w:rPr>
          <w:rFonts w:hint="default" w:ascii="Times New Roman" w:hAnsi="Times New Roman" w:eastAsia="宋体" w:cs="Times New Roman"/>
          <w:snapToGrid w:val="0"/>
          <w:color w:val="auto"/>
          <w:kern w:val="21"/>
          <w:sz w:val="24"/>
          <w:szCs w:val="24"/>
          <w:highlight w:val="none"/>
          <w:lang w:val="zh-CN"/>
        </w:rPr>
        <w:t>10kV</w:t>
      </w:r>
      <w:r>
        <w:rPr>
          <w:rFonts w:hint="default" w:ascii="Times New Roman" w:hAnsi="Times New Roman" w:eastAsia="宋体" w:cs="Times New Roman"/>
          <w:snapToGrid w:val="0"/>
          <w:color w:val="auto"/>
          <w:kern w:val="21"/>
          <w:sz w:val="24"/>
          <w:szCs w:val="24"/>
          <w:highlight w:val="none"/>
          <w:lang w:val="en-US" w:eastAsia="zh-CN"/>
        </w:rPr>
        <w:t>电容器开关柜</w:t>
      </w:r>
      <w:r>
        <w:rPr>
          <w:rFonts w:hint="default" w:ascii="Times New Roman" w:hAnsi="Times New Roman" w:eastAsia="宋体" w:cs="Times New Roman"/>
          <w:snapToGrid w:val="0"/>
          <w:color w:val="auto"/>
          <w:kern w:val="21"/>
          <w:sz w:val="24"/>
          <w:szCs w:val="24"/>
          <w:highlight w:val="none"/>
          <w:lang w:val="zh-CN"/>
        </w:rPr>
        <w:t>避雷器</w:t>
      </w:r>
      <w:r>
        <w:rPr>
          <w:rFonts w:hint="default" w:ascii="Times New Roman" w:hAnsi="Times New Roman" w:eastAsia="宋体" w:cs="Times New Roman"/>
          <w:snapToGrid w:val="0"/>
          <w:color w:val="auto"/>
          <w:kern w:val="21"/>
          <w:sz w:val="24"/>
          <w:szCs w:val="24"/>
          <w:highlight w:val="none"/>
          <w:lang w:val="en-US" w:eastAsia="zh-CN"/>
        </w:rPr>
        <w:t>选择，其它设备避雷器</w:t>
      </w:r>
      <w:r>
        <w:rPr>
          <w:rFonts w:hint="default" w:ascii="Times New Roman" w:hAnsi="Times New Roman" w:cs="Times New Roman"/>
          <w:color w:val="auto"/>
          <w:kern w:val="21"/>
          <w:sz w:val="24"/>
          <w:szCs w:val="24"/>
          <w:highlight w:val="none"/>
        </w:rPr>
        <w:t>满足本工程要求，本期</w:t>
      </w:r>
      <w:r>
        <w:rPr>
          <w:rFonts w:hint="default" w:ascii="Times New Roman" w:hAnsi="Times New Roman" w:cs="Times New Roman"/>
          <w:color w:val="auto"/>
          <w:kern w:val="21"/>
          <w:sz w:val="24"/>
          <w:szCs w:val="24"/>
          <w:highlight w:val="none"/>
          <w:lang w:val="en-US" w:eastAsia="zh-CN"/>
        </w:rPr>
        <w:t>不</w:t>
      </w:r>
      <w:r>
        <w:rPr>
          <w:rFonts w:hint="default" w:ascii="Times New Roman" w:hAnsi="Times New Roman" w:cs="Times New Roman"/>
          <w:color w:val="auto"/>
          <w:kern w:val="21"/>
          <w:sz w:val="24"/>
          <w:szCs w:val="24"/>
          <w:highlight w:val="none"/>
        </w:rPr>
        <w:t>更换</w:t>
      </w:r>
      <w:r>
        <w:rPr>
          <w:rFonts w:hint="default" w:ascii="Times New Roman" w:hAnsi="Times New Roman" w:eastAsia="宋体" w:cs="Times New Roman"/>
          <w:snapToGrid w:val="0"/>
          <w:color w:val="auto"/>
          <w:kern w:val="21"/>
          <w:sz w:val="24"/>
          <w:szCs w:val="24"/>
          <w:highlight w:val="none"/>
          <w:lang w:val="zh-CN"/>
        </w:rPr>
        <w:t>。</w:t>
      </w:r>
    </w:p>
    <w:p>
      <w:pPr>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3.</w:t>
      </w:r>
      <w:r>
        <w:rPr>
          <w:rFonts w:hint="default" w:ascii="Times New Roman" w:hAnsi="Times New Roman" w:eastAsia="宋体" w:cs="Times New Roman"/>
          <w:snapToGrid w:val="0"/>
          <w:color w:val="auto"/>
          <w:kern w:val="21"/>
          <w:sz w:val="24"/>
          <w:szCs w:val="24"/>
          <w:highlight w:val="none"/>
          <w:lang w:val="en-US" w:eastAsia="zh-CN"/>
        </w:rPr>
        <w:t>3</w:t>
      </w:r>
      <w:r>
        <w:rPr>
          <w:rFonts w:hint="default" w:ascii="Times New Roman" w:hAnsi="Times New Roman" w:eastAsia="宋体" w:cs="Times New Roman"/>
          <w:snapToGrid w:val="0"/>
          <w:color w:val="auto"/>
          <w:kern w:val="21"/>
          <w:sz w:val="24"/>
          <w:szCs w:val="24"/>
          <w:highlight w:val="none"/>
          <w:lang w:val="zh-CN"/>
        </w:rPr>
        <w:t>.</w:t>
      </w: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zh-CN"/>
        </w:rPr>
        <w:t xml:space="preserve">  绝缘子串的形式、片数选择</w:t>
      </w:r>
    </w:p>
    <w:p>
      <w:pPr>
        <w:keepNext w:val="0"/>
        <w:keepLines w:val="0"/>
        <w:pageBreakBefore w:val="0"/>
        <w:widowControl/>
        <w:kinsoku/>
        <w:wordWrap/>
        <w:overflowPunct/>
        <w:autoSpaceDE/>
        <w:autoSpaceDN/>
        <w:bidi w:val="0"/>
        <w:adjustRightInd/>
        <w:snapToGrid/>
        <w:spacing w:line="460" w:lineRule="exact"/>
        <w:ind w:firstLine="56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根据本工程站址的污秽等级，本工程绝缘子串片数确定：</w:t>
      </w:r>
    </w:p>
    <w:p>
      <w:pPr>
        <w:keepNext w:val="0"/>
        <w:keepLines w:val="0"/>
        <w:pageBreakBefore w:val="0"/>
        <w:widowControl/>
        <w:kinsoku/>
        <w:wordWrap/>
        <w:overflowPunct/>
        <w:autoSpaceDE/>
        <w:autoSpaceDN/>
        <w:bidi w:val="0"/>
        <w:adjustRightInd/>
        <w:snapToGrid/>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（1）工频电压下爬电距离的要求</w:t>
      </w:r>
    </w:p>
    <w:p>
      <w:pPr>
        <w:keepNext w:val="0"/>
        <w:keepLines w:val="0"/>
        <w:pageBreakBefore w:val="0"/>
        <w:widowControl/>
        <w:kinsoku/>
        <w:wordWrap/>
        <w:overflowPunct/>
        <w:autoSpaceDE/>
        <w:autoSpaceDN/>
        <w:bidi w:val="0"/>
        <w:adjustRightInd/>
        <w:snapToGrid/>
        <w:spacing w:line="460" w:lineRule="exact"/>
        <w:ind w:left="56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（2）操作过电压要求的放电电压      </w:t>
      </w:r>
    </w:p>
    <w:p>
      <w:pPr>
        <w:keepNext w:val="0"/>
        <w:keepLines w:val="0"/>
        <w:pageBreakBefore w:val="0"/>
        <w:widowControl/>
        <w:kinsoku/>
        <w:wordWrap/>
        <w:overflowPunct/>
        <w:autoSpaceDE/>
        <w:autoSpaceDN/>
        <w:bidi w:val="0"/>
        <w:adjustRightInd/>
        <w:snapToGrid/>
        <w:spacing w:line="460" w:lineRule="exact"/>
        <w:ind w:left="56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（3）雷电过电压要求的放电电压</w:t>
      </w:r>
    </w:p>
    <w:p>
      <w:pPr>
        <w:keepNext w:val="0"/>
        <w:keepLines w:val="0"/>
        <w:pageBreakBefore w:val="0"/>
        <w:widowControl/>
        <w:kinsoku/>
        <w:wordWrap/>
        <w:overflowPunct/>
        <w:autoSpaceDE/>
        <w:autoSpaceDN/>
        <w:bidi w:val="0"/>
        <w:adjustRightInd/>
        <w:snapToGrid/>
        <w:spacing w:line="460" w:lineRule="exact"/>
        <w:ind w:left="56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（4）每串预留2片零值绝缘子（如采用盘式绝缘子）</w:t>
      </w:r>
    </w:p>
    <w:p>
      <w:pPr>
        <w:keepNext w:val="0"/>
        <w:keepLines w:val="0"/>
        <w:pageBreakBefore w:val="0"/>
        <w:widowControl/>
        <w:kinsoku/>
        <w:wordWrap/>
        <w:overflowPunct/>
        <w:autoSpaceDE/>
        <w:autoSpaceDN/>
        <w:bidi w:val="0"/>
        <w:adjustRightInd/>
        <w:snapToGrid/>
        <w:spacing w:line="460" w:lineRule="exact"/>
        <w:ind w:firstLine="56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本工程110kV</w:t>
      </w:r>
      <w:r>
        <w:rPr>
          <w:rFonts w:hint="default" w:ascii="Times New Roman" w:hAnsi="Times New Roman" w:eastAsia="宋体" w:cs="Times New Roman"/>
          <w:color w:val="auto"/>
          <w:kern w:val="0"/>
          <w:sz w:val="24"/>
          <w:szCs w:val="24"/>
          <w:highlight w:val="none"/>
          <w:lang w:val="en-US" w:eastAsia="zh-CN"/>
        </w:rPr>
        <w:t>原</w:t>
      </w:r>
      <w:r>
        <w:rPr>
          <w:rFonts w:hint="default" w:ascii="Times New Roman" w:hAnsi="Times New Roman" w:eastAsia="宋体" w:cs="Times New Roman"/>
          <w:color w:val="auto"/>
          <w:kern w:val="0"/>
          <w:sz w:val="24"/>
          <w:szCs w:val="24"/>
          <w:highlight w:val="none"/>
        </w:rPr>
        <w:t>选用11（XWP2-120）型瓷绝缘子串，总泄露距离为≥3906，额定机械负荷120kN</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满足要求</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tabs>
          <w:tab w:val="left" w:pos="360"/>
          <w:tab w:val="left" w:pos="540"/>
          <w:tab w:val="left" w:pos="567"/>
          <w:tab w:val="left" w:pos="897"/>
        </w:tabs>
        <w:kinsoku/>
        <w:wordWrap/>
        <w:overflowPunct/>
        <w:autoSpaceDE/>
        <w:autoSpaceDN/>
        <w:bidi w:val="0"/>
        <w:adjustRightInd/>
        <w:snapToGrid/>
        <w:spacing w:line="460" w:lineRule="exact"/>
        <w:outlineLvl w:val="1"/>
        <w:rPr>
          <w:rFonts w:hint="default" w:ascii="Times New Roman" w:hAnsi="Times New Roman" w:eastAsia="宋体" w:cs="Times New Roman"/>
          <w:color w:val="auto"/>
          <w:kern w:val="21"/>
          <w:sz w:val="24"/>
          <w:szCs w:val="24"/>
          <w:highlight w:val="none"/>
        </w:rPr>
      </w:pPr>
      <w:bookmarkStart w:id="228" w:name="_Toc4678"/>
      <w:bookmarkStart w:id="229" w:name="_Toc14436"/>
      <w:r>
        <w:rPr>
          <w:rFonts w:hint="default" w:ascii="Times New Roman" w:hAnsi="Times New Roman" w:eastAsia="宋体" w:cs="Times New Roman"/>
          <w:color w:val="auto"/>
          <w:kern w:val="21"/>
          <w:sz w:val="24"/>
          <w:szCs w:val="24"/>
          <w:highlight w:val="none"/>
        </w:rPr>
        <w:t>3.</w:t>
      </w:r>
      <w:r>
        <w:rPr>
          <w:rFonts w:hint="default" w:ascii="Times New Roman" w:hAnsi="Times New Roman" w:eastAsia="宋体" w:cs="Times New Roman"/>
          <w:color w:val="auto"/>
          <w:kern w:val="21"/>
          <w:sz w:val="24"/>
          <w:szCs w:val="24"/>
          <w:highlight w:val="none"/>
          <w:lang w:val="en-US" w:eastAsia="zh-CN"/>
        </w:rPr>
        <w:t>4</w:t>
      </w:r>
      <w:r>
        <w:rPr>
          <w:rFonts w:hint="default" w:ascii="Times New Roman" w:hAnsi="Times New Roman" w:eastAsia="宋体" w:cs="Times New Roman"/>
          <w:color w:val="auto"/>
          <w:kern w:val="21"/>
          <w:sz w:val="24"/>
          <w:szCs w:val="24"/>
          <w:highlight w:val="none"/>
        </w:rPr>
        <w:t xml:space="preserve">  电气总平面布置及配电装置</w:t>
      </w:r>
      <w:bookmarkEnd w:id="228"/>
      <w:bookmarkEnd w:id="229"/>
    </w:p>
    <w:p>
      <w:pPr>
        <w:keepNext w:val="0"/>
        <w:keepLines w:val="0"/>
        <w:pageBreakBefore w:val="0"/>
        <w:kinsoku/>
        <w:wordWrap/>
        <w:overflowPunct/>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4</w:t>
      </w:r>
      <w:r>
        <w:rPr>
          <w:rFonts w:hint="default" w:ascii="Times New Roman" w:hAnsi="Times New Roman" w:eastAsia="宋体" w:cs="Times New Roman"/>
          <w:snapToGrid w:val="0"/>
          <w:color w:val="auto"/>
          <w:kern w:val="21"/>
          <w:sz w:val="24"/>
          <w:szCs w:val="24"/>
          <w:highlight w:val="none"/>
        </w:rPr>
        <w:t>.1  出线走廊规划及环境条件对电气总平面布置的影响</w:t>
      </w:r>
    </w:p>
    <w:p>
      <w:pPr>
        <w:keepNext w:val="0"/>
        <w:keepLines w:val="0"/>
        <w:pageBreakBefore w:val="0"/>
        <w:kinsoku/>
        <w:wordWrap/>
        <w:overflowPunct/>
        <w:autoSpaceDE/>
        <w:autoSpaceDN/>
        <w:bidi w:val="0"/>
        <w:adjustRightInd/>
        <w:snapToGrid/>
        <w:spacing w:line="460" w:lineRule="exact"/>
        <w:ind w:firstLine="480" w:firstLineChars="200"/>
        <w:jc w:val="left"/>
        <w:textAlignment w:val="baseline"/>
        <w:rPr>
          <w:rFonts w:hint="default" w:ascii="Times New Roman" w:hAnsi="Times New Roman" w:cs="Times New Roman"/>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110kV青山变位于安阳市龙安区马投涧乡鑫康大道与岷山路交叉口西南角。</w:t>
      </w:r>
      <w:r>
        <w:rPr>
          <w:rFonts w:hint="default" w:ascii="Times New Roman" w:hAnsi="Times New Roman" w:eastAsia="宋体" w:cs="Times New Roman"/>
          <w:color w:val="auto"/>
          <w:sz w:val="24"/>
          <w:szCs w:val="24"/>
          <w:highlight w:val="none"/>
          <w:lang w:val="en-US" w:eastAsia="zh-CN"/>
        </w:rPr>
        <w:t>区域地势平坦，交通便利，路况良好，满足大件运输条件，进出线走廊条件</w:t>
      </w:r>
      <w:r>
        <w:rPr>
          <w:rFonts w:hint="default" w:ascii="Times New Roman" w:hAnsi="Times New Roman" w:eastAsia="宋体" w:cs="Times New Roman"/>
          <w:color w:val="auto"/>
          <w:sz w:val="24"/>
          <w:szCs w:val="24"/>
          <w:highlight w:val="none"/>
          <w:lang w:val="zh-CN" w:eastAsia="zh-CN"/>
        </w:rPr>
        <w:t>良好。</w:t>
      </w:r>
    </w:p>
    <w:p>
      <w:pPr>
        <w:keepNext w:val="0"/>
        <w:keepLines w:val="0"/>
        <w:pageBreakBefore w:val="0"/>
        <w:kinsoku/>
        <w:wordWrap/>
        <w:overflowPunct/>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4</w:t>
      </w:r>
      <w:r>
        <w:rPr>
          <w:rFonts w:hint="default" w:ascii="Times New Roman" w:hAnsi="Times New Roman" w:eastAsia="宋体" w:cs="Times New Roman"/>
          <w:snapToGrid w:val="0"/>
          <w:color w:val="auto"/>
          <w:kern w:val="21"/>
          <w:sz w:val="24"/>
          <w:szCs w:val="24"/>
          <w:highlight w:val="none"/>
        </w:rPr>
        <w:t xml:space="preserve">.2 电气总平面布置方式 </w:t>
      </w:r>
    </w:p>
    <w:p>
      <w:pPr>
        <w:keepNext w:val="0"/>
        <w:keepLines w:val="0"/>
        <w:pageBreakBefore w:val="0"/>
        <w:kinsoku/>
        <w:wordWrap/>
        <w:overflowPunct/>
        <w:autoSpaceDE/>
        <w:autoSpaceDN/>
        <w:bidi w:val="0"/>
        <w:adjustRightInd/>
        <w:snapToGrid/>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4</w:t>
      </w:r>
      <w:r>
        <w:rPr>
          <w:rFonts w:hint="default" w:ascii="Times New Roman" w:hAnsi="Times New Roman" w:eastAsia="宋体" w:cs="Times New Roman"/>
          <w:snapToGrid w:val="0"/>
          <w:color w:val="auto"/>
          <w:kern w:val="21"/>
          <w:sz w:val="24"/>
          <w:szCs w:val="24"/>
          <w:highlight w:val="none"/>
        </w:rPr>
        <w:t>.2</w:t>
      </w:r>
      <w:r>
        <w:rPr>
          <w:rFonts w:hint="default" w:ascii="Times New Roman" w:hAnsi="Times New Roman" w:eastAsia="宋体" w:cs="Times New Roman"/>
          <w:color w:val="auto"/>
          <w:sz w:val="24"/>
          <w:szCs w:val="24"/>
          <w:highlight w:val="none"/>
        </w:rPr>
        <w:t>.1现状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110kV配电装置布置在</w:t>
      </w:r>
      <w:r>
        <w:rPr>
          <w:rFonts w:hint="default" w:ascii="Times New Roman" w:hAnsi="Times New Roman" w:eastAsia="宋体" w:cs="Times New Roman"/>
          <w:color w:val="auto"/>
          <w:kern w:val="21"/>
          <w:sz w:val="24"/>
          <w:szCs w:val="24"/>
          <w:highlight w:val="none"/>
          <w:lang w:val="en-US" w:eastAsia="zh-CN"/>
        </w:rPr>
        <w:t>站区北侧，</w:t>
      </w:r>
      <w:r>
        <w:rPr>
          <w:rFonts w:hint="default" w:ascii="Times New Roman" w:hAnsi="Times New Roman" w:eastAsia="宋体" w:cs="Times New Roman"/>
          <w:color w:val="auto"/>
          <w:kern w:val="21"/>
          <w:sz w:val="24"/>
          <w:szCs w:val="24"/>
          <w:highlight w:val="none"/>
        </w:rPr>
        <w:t>最终</w:t>
      </w:r>
      <w:r>
        <w:rPr>
          <w:rFonts w:hint="default" w:ascii="Times New Roman" w:hAnsi="Times New Roman" w:eastAsia="宋体" w:cs="Times New Roman"/>
          <w:color w:val="auto"/>
          <w:kern w:val="21"/>
          <w:sz w:val="24"/>
          <w:szCs w:val="24"/>
          <w:highlight w:val="none"/>
          <w:lang w:val="en-US" w:eastAsia="zh-CN"/>
        </w:rPr>
        <w:t>2</w:t>
      </w:r>
      <w:r>
        <w:rPr>
          <w:rFonts w:hint="default" w:ascii="Times New Roman" w:hAnsi="Times New Roman" w:eastAsia="宋体" w:cs="Times New Roman"/>
          <w:color w:val="auto"/>
          <w:kern w:val="21"/>
          <w:sz w:val="24"/>
          <w:szCs w:val="24"/>
          <w:highlight w:val="none"/>
        </w:rPr>
        <w:t>回出线，已建</w:t>
      </w:r>
      <w:r>
        <w:rPr>
          <w:rFonts w:hint="default" w:ascii="Times New Roman" w:hAnsi="Times New Roman" w:eastAsia="宋体" w:cs="Times New Roman"/>
          <w:color w:val="auto"/>
          <w:kern w:val="21"/>
          <w:sz w:val="24"/>
          <w:szCs w:val="24"/>
          <w:highlight w:val="none"/>
          <w:lang w:val="en-US" w:eastAsia="zh-CN"/>
        </w:rPr>
        <w:t>1</w:t>
      </w:r>
      <w:r>
        <w:rPr>
          <w:rFonts w:hint="default" w:ascii="Times New Roman" w:hAnsi="Times New Roman" w:eastAsia="宋体" w:cs="Times New Roman"/>
          <w:color w:val="auto"/>
          <w:kern w:val="21"/>
          <w:sz w:val="24"/>
          <w:szCs w:val="24"/>
          <w:highlight w:val="none"/>
        </w:rPr>
        <w:t>回，向</w:t>
      </w:r>
      <w:r>
        <w:rPr>
          <w:rFonts w:hint="default" w:ascii="Times New Roman" w:hAnsi="Times New Roman" w:eastAsia="宋体" w:cs="Times New Roman"/>
          <w:color w:val="auto"/>
          <w:kern w:val="21"/>
          <w:sz w:val="24"/>
          <w:szCs w:val="24"/>
          <w:highlight w:val="none"/>
          <w:lang w:val="en-US" w:eastAsia="zh-CN"/>
        </w:rPr>
        <w:t>北电缆</w:t>
      </w:r>
      <w:r>
        <w:rPr>
          <w:rFonts w:hint="default" w:ascii="Times New Roman" w:hAnsi="Times New Roman" w:eastAsia="宋体" w:cs="Times New Roman"/>
          <w:color w:val="auto"/>
          <w:kern w:val="21"/>
          <w:sz w:val="24"/>
          <w:szCs w:val="24"/>
          <w:highlight w:val="none"/>
        </w:rPr>
        <w:t>出线。10kV配电装置布置在</w:t>
      </w:r>
      <w:r>
        <w:rPr>
          <w:rFonts w:hint="default" w:ascii="Times New Roman" w:hAnsi="Times New Roman" w:eastAsia="宋体" w:cs="Times New Roman"/>
          <w:color w:val="auto"/>
          <w:kern w:val="21"/>
          <w:sz w:val="24"/>
          <w:szCs w:val="24"/>
          <w:highlight w:val="none"/>
          <w:lang w:val="en-US" w:eastAsia="zh-CN"/>
        </w:rPr>
        <w:t>配电装置楼一楼</w:t>
      </w:r>
      <w:r>
        <w:rPr>
          <w:rFonts w:hint="default" w:ascii="Times New Roman" w:hAnsi="Times New Roman" w:eastAsia="宋体" w:cs="Times New Roman"/>
          <w:color w:val="auto"/>
          <w:kern w:val="21"/>
          <w:sz w:val="24"/>
          <w:szCs w:val="24"/>
          <w:highlight w:val="none"/>
        </w:rPr>
        <w:t>，10kV电容器布置在</w:t>
      </w:r>
      <w:r>
        <w:rPr>
          <w:rFonts w:hint="default" w:ascii="Times New Roman" w:hAnsi="Times New Roman" w:eastAsia="宋体" w:cs="Times New Roman"/>
          <w:color w:val="auto"/>
          <w:kern w:val="21"/>
          <w:sz w:val="24"/>
          <w:szCs w:val="24"/>
          <w:highlight w:val="none"/>
          <w:lang w:val="en-US" w:eastAsia="zh-CN"/>
        </w:rPr>
        <w:t>配电装置楼南侧</w:t>
      </w:r>
      <w:r>
        <w:rPr>
          <w:rFonts w:hint="default" w:ascii="Times New Roman" w:hAnsi="Times New Roman" w:eastAsia="宋体" w:cs="Times New Roman"/>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zh-CN"/>
        </w:rPr>
        <w:t>主变压器布置在110kV配电装置与</w:t>
      </w:r>
      <w:r>
        <w:rPr>
          <w:rFonts w:hint="default" w:ascii="Times New Roman" w:hAnsi="Times New Roman" w:cs="Times New Roman"/>
          <w:color w:val="auto"/>
          <w:sz w:val="24"/>
          <w:szCs w:val="24"/>
          <w:highlight w:val="none"/>
          <w:lang w:eastAsia="zh-CN"/>
        </w:rPr>
        <w:t>配电装置楼</w:t>
      </w:r>
      <w:r>
        <w:rPr>
          <w:rFonts w:hint="default" w:ascii="Times New Roman" w:hAnsi="Times New Roman" w:cs="Times New Roman"/>
          <w:snapToGrid w:val="0"/>
          <w:color w:val="auto"/>
          <w:kern w:val="21"/>
          <w:sz w:val="24"/>
          <w:szCs w:val="24"/>
          <w:highlight w:val="none"/>
          <w:lang w:val="zh-CN"/>
        </w:rPr>
        <w:t>之间。</w:t>
      </w:r>
      <w:r>
        <w:rPr>
          <w:rFonts w:hint="default" w:ascii="Times New Roman" w:hAnsi="Times New Roman" w:eastAsia="宋体" w:cs="Times New Roman"/>
          <w:color w:val="auto"/>
          <w:kern w:val="21"/>
          <w:sz w:val="24"/>
          <w:szCs w:val="24"/>
          <w:highlight w:val="none"/>
        </w:rPr>
        <w:t>变电站进站道路从站区</w:t>
      </w:r>
      <w:r>
        <w:rPr>
          <w:rFonts w:hint="default" w:ascii="Times New Roman" w:hAnsi="Times New Roman" w:eastAsia="宋体" w:cs="Times New Roman"/>
          <w:color w:val="auto"/>
          <w:kern w:val="21"/>
          <w:sz w:val="24"/>
          <w:szCs w:val="24"/>
          <w:highlight w:val="none"/>
          <w:lang w:val="en-US" w:eastAsia="zh-CN"/>
        </w:rPr>
        <w:t>西</w:t>
      </w:r>
      <w:r>
        <w:rPr>
          <w:rFonts w:hint="default" w:ascii="Times New Roman" w:hAnsi="Times New Roman" w:eastAsia="宋体" w:cs="Times New Roman"/>
          <w:color w:val="auto"/>
          <w:kern w:val="21"/>
          <w:sz w:val="24"/>
          <w:szCs w:val="24"/>
          <w:highlight w:val="none"/>
        </w:rPr>
        <w:t>侧接入。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 xml:space="preserve">    本站主体建筑是二层</w:t>
      </w:r>
      <w:r>
        <w:rPr>
          <w:rFonts w:hint="default" w:ascii="Times New Roman" w:hAnsi="Times New Roman" w:eastAsia="宋体" w:cs="Times New Roman"/>
          <w:color w:val="auto"/>
          <w:kern w:val="21"/>
          <w:sz w:val="24"/>
          <w:szCs w:val="24"/>
          <w:highlight w:val="none"/>
          <w:lang w:val="en-US" w:eastAsia="zh-CN"/>
        </w:rPr>
        <w:t>配电装置</w:t>
      </w:r>
      <w:r>
        <w:rPr>
          <w:rFonts w:hint="default" w:ascii="Times New Roman" w:hAnsi="Times New Roman" w:eastAsia="宋体" w:cs="Times New Roman"/>
          <w:color w:val="auto"/>
          <w:kern w:val="21"/>
          <w:sz w:val="24"/>
          <w:szCs w:val="24"/>
          <w:highlight w:val="none"/>
        </w:rPr>
        <w:t>楼，</w:t>
      </w:r>
      <w:r>
        <w:rPr>
          <w:rFonts w:hint="default" w:ascii="Times New Roman" w:hAnsi="Times New Roman" w:cs="Times New Roman"/>
          <w:snapToGrid w:val="0"/>
          <w:color w:val="auto"/>
          <w:kern w:val="21"/>
          <w:sz w:val="24"/>
          <w:szCs w:val="24"/>
          <w:highlight w:val="none"/>
        </w:rPr>
        <w:t>10kV</w:t>
      </w:r>
      <w:r>
        <w:rPr>
          <w:rFonts w:hint="default" w:ascii="Times New Roman" w:hAnsi="Times New Roman" w:eastAsia="宋体" w:cs="Times New Roman"/>
          <w:color w:val="auto"/>
          <w:kern w:val="21"/>
          <w:sz w:val="24"/>
          <w:szCs w:val="24"/>
          <w:highlight w:val="none"/>
          <w:lang w:val="en-US" w:eastAsia="zh-CN"/>
        </w:rPr>
        <w:t>配电装置</w:t>
      </w:r>
      <w:r>
        <w:rPr>
          <w:rFonts w:hint="default" w:ascii="Times New Roman" w:hAnsi="Times New Roman" w:cs="Times New Roman"/>
          <w:snapToGrid w:val="0"/>
          <w:color w:val="auto"/>
          <w:kern w:val="21"/>
          <w:sz w:val="24"/>
          <w:szCs w:val="24"/>
          <w:highlight w:val="none"/>
        </w:rPr>
        <w:t>室在</w:t>
      </w:r>
      <w:r>
        <w:rPr>
          <w:rFonts w:hint="default" w:ascii="Times New Roman" w:hAnsi="Times New Roman" w:eastAsia="宋体" w:cs="Times New Roman"/>
          <w:color w:val="auto"/>
          <w:kern w:val="21"/>
          <w:sz w:val="24"/>
          <w:szCs w:val="24"/>
          <w:highlight w:val="none"/>
          <w:lang w:val="en-US" w:eastAsia="zh-CN"/>
        </w:rPr>
        <w:t>配电装置楼</w:t>
      </w:r>
      <w:r>
        <w:rPr>
          <w:rFonts w:hint="default" w:ascii="Times New Roman" w:hAnsi="Times New Roman" w:cs="Times New Roman"/>
          <w:snapToGrid w:val="0"/>
          <w:color w:val="auto"/>
          <w:kern w:val="21"/>
          <w:sz w:val="24"/>
          <w:szCs w:val="24"/>
          <w:highlight w:val="none"/>
        </w:rPr>
        <w:t>一楼，</w:t>
      </w:r>
      <w:r>
        <w:rPr>
          <w:rFonts w:hint="default" w:ascii="Times New Roman" w:hAnsi="Times New Roman" w:cs="Times New Roman"/>
          <w:snapToGrid w:val="0"/>
          <w:color w:val="auto"/>
          <w:kern w:val="21"/>
          <w:sz w:val="24"/>
          <w:szCs w:val="24"/>
          <w:highlight w:val="none"/>
          <w:lang w:val="en-US" w:eastAsia="zh-CN"/>
        </w:rPr>
        <w:t>主控室、二次</w:t>
      </w:r>
      <w:r>
        <w:rPr>
          <w:rFonts w:hint="default" w:ascii="Times New Roman" w:hAnsi="Times New Roman" w:cs="Times New Roman"/>
          <w:snapToGrid w:val="0"/>
          <w:color w:val="auto"/>
          <w:kern w:val="21"/>
          <w:sz w:val="24"/>
          <w:szCs w:val="24"/>
          <w:highlight w:val="none"/>
        </w:rPr>
        <w:t>设备布置在</w:t>
      </w:r>
      <w:r>
        <w:rPr>
          <w:rFonts w:hint="default" w:ascii="Times New Roman" w:hAnsi="Times New Roman" w:eastAsia="宋体" w:cs="Times New Roman"/>
          <w:color w:val="auto"/>
          <w:kern w:val="21"/>
          <w:sz w:val="24"/>
          <w:szCs w:val="24"/>
          <w:highlight w:val="none"/>
          <w:lang w:val="en-US" w:eastAsia="zh-CN"/>
        </w:rPr>
        <w:t>配电装置楼</w:t>
      </w:r>
      <w:r>
        <w:rPr>
          <w:rFonts w:hint="default" w:ascii="Times New Roman" w:hAnsi="Times New Roman" w:cs="Times New Roman"/>
          <w:snapToGrid w:val="0"/>
          <w:color w:val="auto"/>
          <w:kern w:val="21"/>
          <w:sz w:val="24"/>
          <w:szCs w:val="24"/>
          <w:highlight w:val="none"/>
        </w:rPr>
        <w:t>二楼</w:t>
      </w:r>
      <w:r>
        <w:rPr>
          <w:rFonts w:hint="default" w:ascii="Times New Roman" w:hAnsi="Times New Roman" w:eastAsia="宋体" w:cs="Times New Roman"/>
          <w:color w:val="auto"/>
          <w:kern w:val="21"/>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4</w:t>
      </w:r>
      <w:r>
        <w:rPr>
          <w:rFonts w:hint="default" w:ascii="Times New Roman" w:hAnsi="Times New Roman" w:eastAsia="宋体" w:cs="Times New Roman"/>
          <w:snapToGrid w:val="0"/>
          <w:color w:val="auto"/>
          <w:kern w:val="21"/>
          <w:sz w:val="24"/>
          <w:szCs w:val="24"/>
          <w:highlight w:val="none"/>
        </w:rPr>
        <w:t>.2</w:t>
      </w:r>
      <w:r>
        <w:rPr>
          <w:rFonts w:hint="default" w:ascii="Times New Roman" w:hAnsi="Times New Roman" w:eastAsia="宋体" w:cs="Times New Roman"/>
          <w:color w:val="auto"/>
          <w:sz w:val="24"/>
          <w:szCs w:val="24"/>
          <w:highlight w:val="none"/>
        </w:rPr>
        <w:t>.2 本期</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110kV无出线</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zh-CN"/>
        </w:rPr>
        <w:t>主变压器布置在110kV配电装置与</w:t>
      </w:r>
      <w:r>
        <w:rPr>
          <w:rFonts w:hint="default" w:ascii="Times New Roman" w:hAnsi="Times New Roman" w:cs="Times New Roman"/>
          <w:color w:val="auto"/>
          <w:sz w:val="24"/>
          <w:szCs w:val="24"/>
          <w:highlight w:val="none"/>
          <w:lang w:eastAsia="zh-CN"/>
        </w:rPr>
        <w:t>配电装置楼</w:t>
      </w:r>
      <w:r>
        <w:rPr>
          <w:rFonts w:hint="default" w:ascii="Times New Roman" w:hAnsi="Times New Roman" w:cs="Times New Roman"/>
          <w:snapToGrid w:val="0"/>
          <w:color w:val="auto"/>
          <w:kern w:val="21"/>
          <w:sz w:val="24"/>
          <w:szCs w:val="24"/>
          <w:highlight w:val="none"/>
          <w:lang w:val="zh-CN"/>
        </w:rPr>
        <w:t>之间</w:t>
      </w:r>
      <w:r>
        <w:rPr>
          <w:rFonts w:hint="default" w:ascii="Times New Roman" w:hAnsi="Times New Roman" w:eastAsia="宋体" w:cs="Times New Roman"/>
          <w:color w:val="auto"/>
          <w:kern w:val="21"/>
          <w:sz w:val="24"/>
          <w:szCs w:val="24"/>
          <w:highlight w:val="none"/>
        </w:rPr>
        <w:t>，10kV配电装置</w:t>
      </w:r>
      <w:r>
        <w:rPr>
          <w:rFonts w:hint="default" w:ascii="Times New Roman" w:hAnsi="Times New Roman" w:eastAsia="宋体" w:cs="Times New Roman"/>
          <w:color w:val="auto"/>
          <w:sz w:val="24"/>
          <w:szCs w:val="24"/>
          <w:highlight w:val="none"/>
          <w:lang w:val="en-US" w:eastAsia="zh-CN"/>
        </w:rPr>
        <w:t>拆除1#站用变，在此位置新增3#电容器柜，更换1#主进柜，更换出线柜2台，更换10kV1#主进母线桥，更换10kV东母南北跨桥。</w:t>
      </w:r>
      <w:r>
        <w:rPr>
          <w:rFonts w:hint="default" w:ascii="Times New Roman" w:hAnsi="Times New Roman" w:eastAsia="宋体" w:cs="Times New Roman"/>
          <w:color w:val="auto"/>
          <w:kern w:val="21"/>
          <w:sz w:val="24"/>
          <w:szCs w:val="24"/>
          <w:highlight w:val="none"/>
          <w:lang w:val="en-US" w:eastAsia="zh-CN"/>
        </w:rPr>
        <w:t>新增</w:t>
      </w:r>
      <w:r>
        <w:rPr>
          <w:rFonts w:hint="default" w:ascii="Times New Roman" w:hAnsi="Times New Roman" w:eastAsia="宋体" w:cs="Times New Roman"/>
          <w:color w:val="auto"/>
          <w:kern w:val="21"/>
          <w:sz w:val="24"/>
          <w:szCs w:val="24"/>
          <w:highlight w:val="none"/>
        </w:rPr>
        <w:t>10kV电容器布置在站区</w:t>
      </w:r>
      <w:r>
        <w:rPr>
          <w:rFonts w:hint="default" w:ascii="Times New Roman" w:hAnsi="Times New Roman" w:eastAsia="宋体" w:cs="Times New Roman"/>
          <w:color w:val="auto"/>
          <w:kern w:val="21"/>
          <w:sz w:val="24"/>
          <w:szCs w:val="24"/>
          <w:highlight w:val="none"/>
          <w:lang w:val="en-US" w:eastAsia="zh-CN"/>
        </w:rPr>
        <w:t>西</w:t>
      </w:r>
      <w:r>
        <w:rPr>
          <w:rFonts w:hint="default" w:ascii="Times New Roman" w:hAnsi="Times New Roman" w:eastAsia="宋体" w:cs="Times New Roman"/>
          <w:color w:val="auto"/>
          <w:kern w:val="21"/>
          <w:sz w:val="24"/>
          <w:szCs w:val="24"/>
          <w:highlight w:val="none"/>
        </w:rPr>
        <w:t>北角</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lang w:val="en-US" w:eastAsia="zh-CN"/>
        </w:rPr>
        <w:t>新增接地变及消弧线圈成套装置布置在</w:t>
      </w:r>
      <w:r>
        <w:rPr>
          <w:rFonts w:hint="default" w:ascii="Times New Roman" w:hAnsi="Times New Roman" w:cs="Times New Roman"/>
          <w:snapToGrid w:val="0"/>
          <w:color w:val="auto"/>
          <w:kern w:val="21"/>
          <w:sz w:val="24"/>
          <w:szCs w:val="24"/>
          <w:highlight w:val="none"/>
          <w:lang w:val="zh-CN"/>
        </w:rPr>
        <w:t>110kV配电装置</w:t>
      </w:r>
      <w:r>
        <w:rPr>
          <w:rFonts w:hint="default" w:ascii="Times New Roman" w:hAnsi="Times New Roman" w:cs="Times New Roman"/>
          <w:snapToGrid w:val="0"/>
          <w:color w:val="auto"/>
          <w:kern w:val="21"/>
          <w:sz w:val="24"/>
          <w:szCs w:val="24"/>
          <w:highlight w:val="none"/>
          <w:lang w:val="en-US" w:eastAsia="zh-CN"/>
        </w:rPr>
        <w:t>东侧</w:t>
      </w:r>
      <w:r>
        <w:rPr>
          <w:rFonts w:hint="default" w:ascii="Times New Roman" w:hAnsi="Times New Roman" w:eastAsia="宋体" w:cs="Times New Roman"/>
          <w:color w:val="auto"/>
          <w:kern w:val="21"/>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4</w:t>
      </w:r>
      <w:r>
        <w:rPr>
          <w:rFonts w:hint="default" w:ascii="Times New Roman" w:hAnsi="Times New Roman" w:eastAsia="宋体" w:cs="Times New Roman"/>
          <w:snapToGrid w:val="0"/>
          <w:color w:val="auto"/>
          <w:kern w:val="21"/>
          <w:sz w:val="24"/>
          <w:szCs w:val="24"/>
          <w:highlight w:val="none"/>
        </w:rPr>
        <w:t>.3  各级配电装置</w:t>
      </w:r>
    </w:p>
    <w:p>
      <w:pPr>
        <w:pStyle w:val="26"/>
        <w:keepNext w:val="0"/>
        <w:keepLines w:val="0"/>
        <w:pageBreakBefore w:val="0"/>
        <w:kinsoku/>
        <w:wordWrap/>
        <w:overflowPunct/>
        <w:autoSpaceDE/>
        <w:autoSpaceDN/>
        <w:bidi w:val="0"/>
        <w:adjustRightInd/>
        <w:snapToGrid/>
        <w:spacing w:line="460" w:lineRule="exact"/>
        <w:ind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snapToGrid w:val="0"/>
          <w:color w:val="auto"/>
          <w:kern w:val="21"/>
          <w:sz w:val="24"/>
          <w:szCs w:val="24"/>
          <w:highlight w:val="none"/>
        </w:rPr>
        <w:t>11</w:t>
      </w:r>
      <w:r>
        <w:rPr>
          <w:rFonts w:hint="default" w:ascii="Times New Roman" w:hAnsi="Times New Roman" w:cs="Times New Roman"/>
          <w:snapToGrid w:val="0"/>
          <w:color w:val="auto"/>
          <w:kern w:val="21"/>
          <w:sz w:val="24"/>
          <w:szCs w:val="24"/>
          <w:highlight w:val="none"/>
          <w:lang w:val="zh-CN"/>
        </w:rPr>
        <w:t>0kV配电装置</w:t>
      </w:r>
    </w:p>
    <w:p>
      <w:pPr>
        <w:keepNext w:val="0"/>
        <w:keepLines w:val="0"/>
        <w:pageBreakBefore w:val="0"/>
        <w:kinsoku/>
        <w:wordWrap/>
        <w:overflowPunct/>
        <w:autoSpaceDE/>
        <w:autoSpaceDN/>
        <w:bidi w:val="0"/>
        <w:adjustRightInd/>
        <w:snapToGrid/>
        <w:spacing w:line="460" w:lineRule="exact"/>
        <w:ind w:firstLine="56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110kV配电装置采用户</w:t>
      </w:r>
      <w:r>
        <w:rPr>
          <w:rFonts w:hint="default" w:ascii="Times New Roman" w:hAnsi="Times New Roman" w:eastAsia="宋体" w:cs="Times New Roman"/>
          <w:snapToGrid w:val="0"/>
          <w:color w:val="auto"/>
          <w:kern w:val="21"/>
          <w:sz w:val="24"/>
          <w:szCs w:val="24"/>
          <w:highlight w:val="none"/>
          <w:lang w:val="en-US" w:eastAsia="zh-CN"/>
        </w:rPr>
        <w:t>外</w:t>
      </w:r>
      <w:r>
        <w:rPr>
          <w:rFonts w:hint="default" w:ascii="Times New Roman" w:hAnsi="Times New Roman" w:eastAsia="宋体" w:cs="Times New Roman"/>
          <w:snapToGrid w:val="0"/>
          <w:color w:val="auto"/>
          <w:kern w:val="21"/>
          <w:sz w:val="24"/>
          <w:szCs w:val="24"/>
          <w:highlight w:val="none"/>
        </w:rPr>
        <w:t>AIS布置。本期无出线。</w:t>
      </w:r>
    </w:p>
    <w:p>
      <w:pPr>
        <w:keepNext w:val="0"/>
        <w:keepLines w:val="0"/>
        <w:pageBreakBefore w:val="0"/>
        <w:kinsoku/>
        <w:wordWrap/>
        <w:overflowPunct/>
        <w:autoSpaceDE/>
        <w:autoSpaceDN/>
        <w:bidi w:val="0"/>
        <w:adjustRightInd/>
        <w:snapToGrid/>
        <w:spacing w:line="460" w:lineRule="exact"/>
        <w:ind w:firstLineChars="200"/>
        <w:rPr>
          <w:rFonts w:hint="default" w:ascii="Times New Roman" w:hAnsi="Times New Roman" w:eastAsia="宋体" w:cs="Times New Roman"/>
          <w:snapToGrid w:val="0"/>
          <w:color w:val="auto"/>
          <w:kern w:val="21"/>
          <w:sz w:val="24"/>
          <w:szCs w:val="24"/>
          <w:highlight w:val="none"/>
          <w:lang w:eastAsia="zh-CN"/>
        </w:rPr>
      </w:pPr>
      <w:r>
        <w:rPr>
          <w:rFonts w:hint="default" w:ascii="Times New Roman" w:hAnsi="Times New Roman" w:eastAsia="宋体" w:cs="Times New Roman"/>
          <w:snapToGrid w:val="0"/>
          <w:color w:val="auto"/>
          <w:kern w:val="21"/>
          <w:sz w:val="24"/>
          <w:szCs w:val="24"/>
          <w:highlight w:val="none"/>
        </w:rPr>
        <w:t>（2）10kV配电装置</w:t>
      </w:r>
      <w:r>
        <w:rPr>
          <w:rFonts w:hint="default" w:ascii="Times New Roman" w:hAnsi="Times New Roman" w:eastAsia="宋体" w:cs="Times New Roman"/>
          <w:snapToGrid w:val="0"/>
          <w:color w:val="auto"/>
          <w:kern w:val="21"/>
          <w:sz w:val="24"/>
          <w:szCs w:val="24"/>
          <w:highlight w:val="none"/>
          <w:lang w:eastAsia="zh-CN"/>
        </w:rPr>
        <w:t>、</w:t>
      </w:r>
      <w:r>
        <w:rPr>
          <w:rFonts w:hint="default" w:ascii="Times New Roman" w:hAnsi="Times New Roman" w:eastAsia="宋体" w:cs="Times New Roman"/>
          <w:snapToGrid w:val="0"/>
          <w:color w:val="auto"/>
          <w:kern w:val="21"/>
          <w:sz w:val="24"/>
          <w:szCs w:val="24"/>
          <w:highlight w:val="none"/>
        </w:rPr>
        <w:t>并联电容器组</w:t>
      </w:r>
      <w:r>
        <w:rPr>
          <w:rFonts w:hint="default" w:ascii="Times New Roman" w:hAnsi="Times New Roman" w:eastAsia="宋体" w:cs="Times New Roman"/>
          <w:snapToGrid w:val="0"/>
          <w:color w:val="auto"/>
          <w:kern w:val="21"/>
          <w:sz w:val="24"/>
          <w:szCs w:val="24"/>
          <w:highlight w:val="none"/>
          <w:lang w:val="en-US" w:eastAsia="zh-CN"/>
        </w:rPr>
        <w:t>及</w:t>
      </w:r>
      <w:r>
        <w:rPr>
          <w:rFonts w:hint="default" w:ascii="Times New Roman" w:hAnsi="Times New Roman" w:eastAsia="宋体" w:cs="Times New Roman"/>
          <w:color w:val="auto"/>
          <w:kern w:val="21"/>
          <w:sz w:val="24"/>
          <w:szCs w:val="24"/>
          <w:highlight w:val="none"/>
          <w:lang w:val="en-US" w:eastAsia="zh-CN"/>
        </w:rPr>
        <w:t>接地变及消弧线圈成套装置</w:t>
      </w:r>
      <w:r>
        <w:rPr>
          <w:rFonts w:hint="default" w:ascii="Times New Roman" w:hAnsi="Times New Roman" w:eastAsia="宋体" w:cs="Times New Roman"/>
          <w:snapToGrid w:val="0"/>
          <w:color w:val="auto"/>
          <w:kern w:val="21"/>
          <w:sz w:val="24"/>
          <w:szCs w:val="24"/>
          <w:highlight w:val="none"/>
          <w:lang w:eastAsia="zh-CN"/>
        </w:rPr>
        <w:t>。</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10kV配电装置采用金属铠装移开式高压开关柜，为户内</w:t>
      </w:r>
      <w:r>
        <w:rPr>
          <w:rFonts w:hint="default" w:ascii="Times New Roman" w:hAnsi="Times New Roman" w:eastAsia="宋体" w:cs="Times New Roman"/>
          <w:snapToGrid w:val="0"/>
          <w:color w:val="auto"/>
          <w:kern w:val="21"/>
          <w:sz w:val="24"/>
          <w:szCs w:val="24"/>
          <w:highlight w:val="none"/>
          <w:lang w:val="en-US" w:eastAsia="zh-CN"/>
        </w:rPr>
        <w:t>双</w:t>
      </w:r>
      <w:r>
        <w:rPr>
          <w:rFonts w:hint="default" w:ascii="Times New Roman" w:hAnsi="Times New Roman" w:eastAsia="宋体" w:cs="Times New Roman"/>
          <w:snapToGrid w:val="0"/>
          <w:color w:val="auto"/>
          <w:kern w:val="21"/>
          <w:sz w:val="24"/>
          <w:szCs w:val="24"/>
          <w:highlight w:val="none"/>
        </w:rPr>
        <w:t>列布置。10kV并联电容器组</w:t>
      </w:r>
      <w:r>
        <w:rPr>
          <w:rFonts w:hint="default" w:ascii="Times New Roman" w:hAnsi="Times New Roman" w:eastAsia="宋体" w:cs="Times New Roman"/>
          <w:snapToGrid w:val="0"/>
          <w:color w:val="auto"/>
          <w:kern w:val="21"/>
          <w:sz w:val="24"/>
          <w:szCs w:val="24"/>
          <w:highlight w:val="none"/>
          <w:lang w:val="en-US" w:eastAsia="zh-CN"/>
        </w:rPr>
        <w:t>本期</w:t>
      </w:r>
      <w:r>
        <w:rPr>
          <w:rFonts w:hint="default" w:ascii="Times New Roman" w:hAnsi="Times New Roman" w:eastAsia="宋体" w:cs="Times New Roman"/>
          <w:snapToGrid w:val="0"/>
          <w:color w:val="auto"/>
          <w:kern w:val="21"/>
          <w:sz w:val="24"/>
          <w:szCs w:val="24"/>
          <w:highlight w:val="none"/>
        </w:rPr>
        <w:t>采用框架式户外布置</w:t>
      </w:r>
      <w:r>
        <w:rPr>
          <w:rFonts w:hint="default" w:ascii="Times New Roman" w:hAnsi="Times New Roman" w:eastAsia="宋体" w:cs="Times New Roman"/>
          <w:snapToGrid w:val="0"/>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lang w:val="en-US" w:eastAsia="zh-CN"/>
        </w:rPr>
        <w:t>地变及消弧线圈成套装置户外布置</w:t>
      </w:r>
      <w:r>
        <w:rPr>
          <w:rFonts w:hint="default" w:ascii="Times New Roman" w:hAnsi="Times New Roman" w:eastAsia="宋体" w:cs="Times New Roman"/>
          <w:snapToGrid w:val="0"/>
          <w:color w:val="auto"/>
          <w:kern w:val="21"/>
          <w:sz w:val="24"/>
          <w:szCs w:val="24"/>
          <w:highlight w:val="none"/>
        </w:rPr>
        <w:t>。</w:t>
      </w:r>
    </w:p>
    <w:p>
      <w:pPr>
        <w:keepNext w:val="0"/>
        <w:keepLines w:val="0"/>
        <w:pageBreakBefore w:val="0"/>
        <w:kinsoku/>
        <w:wordWrap/>
        <w:overflowPunct/>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4</w:t>
      </w:r>
      <w:r>
        <w:rPr>
          <w:rFonts w:hint="default" w:ascii="Times New Roman" w:hAnsi="Times New Roman" w:eastAsia="宋体" w:cs="Times New Roman"/>
          <w:snapToGrid w:val="0"/>
          <w:color w:val="auto"/>
          <w:kern w:val="21"/>
          <w:sz w:val="24"/>
          <w:szCs w:val="24"/>
          <w:highlight w:val="none"/>
        </w:rPr>
        <w:t>.4  抗震措施</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站址区域地震设防烈度为</w:t>
      </w:r>
      <w:r>
        <w:rPr>
          <w:rFonts w:hint="default" w:ascii="Times New Roman" w:hAnsi="Times New Roman" w:eastAsia="宋体" w:cs="Times New Roman"/>
          <w:snapToGrid w:val="0"/>
          <w:color w:val="auto"/>
          <w:kern w:val="21"/>
          <w:sz w:val="24"/>
          <w:szCs w:val="24"/>
          <w:highlight w:val="none"/>
          <w:lang w:val="en-US" w:eastAsia="zh-CN"/>
        </w:rPr>
        <w:t>8</w:t>
      </w:r>
      <w:r>
        <w:rPr>
          <w:rFonts w:hint="default" w:ascii="Times New Roman" w:hAnsi="Times New Roman" w:eastAsia="宋体" w:cs="Times New Roman"/>
          <w:snapToGrid w:val="0"/>
          <w:color w:val="auto"/>
          <w:kern w:val="21"/>
          <w:sz w:val="24"/>
          <w:szCs w:val="24"/>
          <w:highlight w:val="none"/>
          <w:lang w:val="zh-CN"/>
        </w:rPr>
        <w:t>度,设计地震分组为第一组，设计基本地震加速度值为0.</w:t>
      </w: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zh-CN"/>
        </w:rPr>
        <w:t>g。</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根据《电力设施抗震设计规范》GB50260—2013，本站采取的抗震措施:</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w:t>
      </w:r>
      <w:r>
        <w:rPr>
          <w:rFonts w:hint="default" w:ascii="Times New Roman" w:hAnsi="Times New Roman" w:eastAsia="宋体" w:cs="Times New Roman"/>
          <w:snapToGrid w:val="0"/>
          <w:color w:val="auto"/>
          <w:kern w:val="21"/>
          <w:sz w:val="24"/>
          <w:szCs w:val="24"/>
          <w:highlight w:val="none"/>
        </w:rPr>
        <w:t>1</w:t>
      </w:r>
      <w:r>
        <w:rPr>
          <w:rFonts w:hint="default" w:ascii="Times New Roman" w:hAnsi="Times New Roman" w:eastAsia="宋体" w:cs="Times New Roman"/>
          <w:snapToGrid w:val="0"/>
          <w:color w:val="auto"/>
          <w:kern w:val="21"/>
          <w:sz w:val="24"/>
          <w:szCs w:val="24"/>
          <w:highlight w:val="none"/>
          <w:lang w:val="zh-CN"/>
        </w:rPr>
        <w:t>）设备间连线采用软导线。</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w:t>
      </w:r>
      <w:r>
        <w:rPr>
          <w:rFonts w:hint="default" w:ascii="Times New Roman" w:hAnsi="Times New Roman" w:eastAsia="宋体" w:cs="Times New Roman"/>
          <w:snapToGrid w:val="0"/>
          <w:color w:val="auto"/>
          <w:kern w:val="21"/>
          <w:sz w:val="24"/>
          <w:szCs w:val="24"/>
          <w:highlight w:val="none"/>
        </w:rPr>
        <w:t>2</w:t>
      </w:r>
      <w:r>
        <w:rPr>
          <w:rFonts w:hint="default" w:ascii="Times New Roman" w:hAnsi="Times New Roman" w:eastAsia="宋体" w:cs="Times New Roman"/>
          <w:snapToGrid w:val="0"/>
          <w:color w:val="auto"/>
          <w:kern w:val="21"/>
          <w:sz w:val="24"/>
          <w:szCs w:val="24"/>
          <w:highlight w:val="none"/>
          <w:lang w:val="zh-CN"/>
        </w:rPr>
        <w:t>）设备选择满足抗</w:t>
      </w:r>
      <w:r>
        <w:rPr>
          <w:rFonts w:hint="default" w:ascii="Times New Roman" w:hAnsi="Times New Roman" w:eastAsia="宋体" w:cs="Times New Roman"/>
          <w:snapToGrid w:val="0"/>
          <w:color w:val="auto"/>
          <w:kern w:val="21"/>
          <w:sz w:val="24"/>
          <w:szCs w:val="24"/>
          <w:highlight w:val="none"/>
        </w:rPr>
        <w:t>8</w:t>
      </w:r>
      <w:r>
        <w:rPr>
          <w:rFonts w:hint="default" w:ascii="Times New Roman" w:hAnsi="Times New Roman" w:eastAsia="宋体" w:cs="Times New Roman"/>
          <w:snapToGrid w:val="0"/>
          <w:color w:val="auto"/>
          <w:kern w:val="21"/>
          <w:sz w:val="24"/>
          <w:szCs w:val="24"/>
          <w:highlight w:val="none"/>
          <w:lang w:val="zh-CN"/>
        </w:rPr>
        <w:t>度地震烈度的设备。</w:t>
      </w:r>
    </w:p>
    <w:p>
      <w:pPr>
        <w:keepNext w:val="0"/>
        <w:keepLines w:val="0"/>
        <w:pageBreakBefore w:val="0"/>
        <w:widowControl/>
        <w:tabs>
          <w:tab w:val="left" w:pos="360"/>
          <w:tab w:val="left" w:pos="540"/>
          <w:tab w:val="left" w:pos="567"/>
          <w:tab w:val="left" w:pos="840"/>
        </w:tabs>
        <w:kinsoku/>
        <w:wordWrap/>
        <w:overflowPunct/>
        <w:autoSpaceDE/>
        <w:autoSpaceDN/>
        <w:bidi w:val="0"/>
        <w:adjustRightInd/>
        <w:snapToGrid/>
        <w:spacing w:line="460" w:lineRule="exact"/>
        <w:outlineLvl w:val="1"/>
        <w:rPr>
          <w:rFonts w:hint="default" w:ascii="Times New Roman" w:hAnsi="Times New Roman" w:eastAsia="宋体" w:cs="Times New Roman"/>
          <w:color w:val="auto"/>
          <w:kern w:val="21"/>
          <w:sz w:val="24"/>
          <w:szCs w:val="24"/>
          <w:highlight w:val="none"/>
        </w:rPr>
      </w:pPr>
      <w:bookmarkStart w:id="230" w:name="_Toc10643"/>
      <w:bookmarkStart w:id="231" w:name="_Toc12463"/>
      <w:r>
        <w:rPr>
          <w:rFonts w:hint="default" w:ascii="Times New Roman" w:hAnsi="Times New Roman" w:eastAsia="宋体" w:cs="Times New Roman"/>
          <w:color w:val="auto"/>
          <w:kern w:val="21"/>
          <w:sz w:val="24"/>
          <w:szCs w:val="24"/>
          <w:highlight w:val="none"/>
        </w:rPr>
        <w:t>3.</w:t>
      </w:r>
      <w:r>
        <w:rPr>
          <w:rFonts w:hint="default" w:ascii="Times New Roman" w:hAnsi="Times New Roman" w:eastAsia="宋体" w:cs="Times New Roman"/>
          <w:color w:val="auto"/>
          <w:kern w:val="21"/>
          <w:sz w:val="24"/>
          <w:szCs w:val="24"/>
          <w:highlight w:val="none"/>
          <w:lang w:val="en-US" w:eastAsia="zh-CN"/>
        </w:rPr>
        <w:t>5</w:t>
      </w:r>
      <w:r>
        <w:rPr>
          <w:rFonts w:hint="default" w:ascii="Times New Roman" w:hAnsi="Times New Roman" w:eastAsia="宋体" w:cs="Times New Roman"/>
          <w:color w:val="auto"/>
          <w:kern w:val="21"/>
          <w:sz w:val="24"/>
          <w:szCs w:val="24"/>
          <w:highlight w:val="none"/>
        </w:rPr>
        <w:t xml:space="preserve">  站用电及照明</w:t>
      </w:r>
      <w:bookmarkEnd w:id="230"/>
      <w:bookmarkEnd w:id="231"/>
    </w:p>
    <w:p>
      <w:pPr>
        <w:keepNext w:val="0"/>
        <w:keepLines w:val="0"/>
        <w:pageBreakBefore w:val="0"/>
        <w:kinsoku/>
        <w:wordWrap/>
        <w:overflowPunct/>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5</w:t>
      </w:r>
      <w:r>
        <w:rPr>
          <w:rFonts w:hint="default" w:ascii="Times New Roman" w:hAnsi="Times New Roman" w:eastAsia="宋体" w:cs="Times New Roman"/>
          <w:snapToGrid w:val="0"/>
          <w:color w:val="auto"/>
          <w:kern w:val="21"/>
          <w:sz w:val="24"/>
          <w:szCs w:val="24"/>
          <w:highlight w:val="none"/>
        </w:rPr>
        <w:t>.1 站用电引接及接线方案</w:t>
      </w:r>
    </w:p>
    <w:p>
      <w:pPr>
        <w:keepNext w:val="0"/>
        <w:keepLines w:val="0"/>
        <w:pageBreakBefore w:val="0"/>
        <w:kinsoku/>
        <w:wordWrap/>
        <w:overflowPunct/>
        <w:autoSpaceDE/>
        <w:autoSpaceDN/>
        <w:bidi w:val="0"/>
        <w:adjustRightInd/>
        <w:snapToGrid/>
        <w:spacing w:line="460" w:lineRule="exact"/>
        <w:ind w:firstLine="480" w:firstLineChars="200"/>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zh-CN"/>
        </w:rPr>
        <w:t>变电站站用电两回，一回电源引接本站10kV接地变，一回电源引接本站10kV</w:t>
      </w:r>
      <w:r>
        <w:rPr>
          <w:rFonts w:hint="default" w:ascii="Times New Roman" w:hAnsi="Times New Roman" w:cs="Times New Roman"/>
          <w:snapToGrid w:val="0"/>
          <w:color w:val="auto"/>
          <w:kern w:val="21"/>
          <w:sz w:val="24"/>
          <w:szCs w:val="24"/>
          <w:highlight w:val="none"/>
          <w:lang w:val="en-US" w:eastAsia="zh-CN"/>
        </w:rPr>
        <w:t>站用变，站变容量</w:t>
      </w:r>
      <w:r>
        <w:rPr>
          <w:rFonts w:hint="default" w:ascii="Times New Roman" w:hAnsi="Times New Roman" w:eastAsia="宋体" w:cs="Times New Roman"/>
          <w:snapToGrid w:val="0"/>
          <w:color w:val="auto"/>
          <w:kern w:val="21"/>
          <w:sz w:val="24"/>
          <w:szCs w:val="24"/>
          <w:highlight w:val="none"/>
          <w:lang w:val="en-US" w:eastAsia="zh-CN"/>
        </w:rPr>
        <w:t>均</w:t>
      </w:r>
      <w:r>
        <w:rPr>
          <w:rFonts w:hint="default" w:ascii="Times New Roman" w:hAnsi="Times New Roman" w:eastAsia="宋体" w:cs="Times New Roman"/>
          <w:snapToGrid w:val="0"/>
          <w:color w:val="auto"/>
          <w:kern w:val="21"/>
          <w:sz w:val="24"/>
          <w:szCs w:val="24"/>
          <w:highlight w:val="none"/>
        </w:rPr>
        <w:t>为</w:t>
      </w:r>
      <w:r>
        <w:rPr>
          <w:rFonts w:hint="default" w:ascii="Times New Roman" w:hAnsi="Times New Roman" w:eastAsia="宋体" w:cs="Times New Roman"/>
          <w:snapToGrid w:val="0"/>
          <w:color w:val="auto"/>
          <w:kern w:val="21"/>
          <w:sz w:val="24"/>
          <w:szCs w:val="24"/>
          <w:highlight w:val="none"/>
          <w:lang w:val="en-US" w:eastAsia="zh-CN"/>
        </w:rPr>
        <w:t>1</w:t>
      </w:r>
      <w:r>
        <w:rPr>
          <w:rFonts w:hint="default" w:ascii="Times New Roman" w:hAnsi="Times New Roman" w:eastAsia="宋体" w:cs="Times New Roman"/>
          <w:snapToGrid w:val="0"/>
          <w:color w:val="auto"/>
          <w:kern w:val="21"/>
          <w:sz w:val="24"/>
          <w:szCs w:val="24"/>
          <w:highlight w:val="none"/>
        </w:rPr>
        <w:t>00kVA</w:t>
      </w:r>
      <w:r>
        <w:rPr>
          <w:rFonts w:hint="default" w:ascii="Times New Roman" w:hAnsi="Times New Roman" w:eastAsia="宋体" w:cs="Times New Roman"/>
          <w:snapToGrid w:val="0"/>
          <w:color w:val="auto"/>
          <w:kern w:val="21"/>
          <w:sz w:val="24"/>
          <w:szCs w:val="24"/>
          <w:highlight w:val="none"/>
          <w:lang w:eastAsia="zh-CN"/>
        </w:rPr>
        <w:t>。</w:t>
      </w:r>
      <w:r>
        <w:rPr>
          <w:rFonts w:hint="default" w:ascii="Times New Roman" w:hAnsi="Times New Roman" w:eastAsia="宋体" w:cs="Times New Roman"/>
          <w:snapToGrid w:val="0"/>
          <w:color w:val="auto"/>
          <w:kern w:val="21"/>
          <w:sz w:val="24"/>
          <w:szCs w:val="24"/>
          <w:highlight w:val="none"/>
        </w:rPr>
        <w:t>站用电采用380/220V三相四线制中性点直接接地系统，</w:t>
      </w:r>
      <w:r>
        <w:rPr>
          <w:rFonts w:hint="default" w:ascii="Times New Roman" w:hAnsi="Times New Roman" w:eastAsia="宋体" w:cs="Times New Roman"/>
          <w:snapToGrid w:val="0"/>
          <w:color w:val="auto"/>
          <w:kern w:val="21"/>
          <w:sz w:val="24"/>
          <w:szCs w:val="24"/>
          <w:highlight w:val="none"/>
          <w:lang w:val="en-US" w:eastAsia="zh-CN"/>
        </w:rPr>
        <w:t>不得并列</w:t>
      </w:r>
      <w:r>
        <w:rPr>
          <w:rFonts w:hint="default" w:ascii="Times New Roman" w:hAnsi="Times New Roman" w:eastAsia="宋体" w:cs="Times New Roman"/>
          <w:snapToGrid w:val="0"/>
          <w:color w:val="auto"/>
          <w:kern w:val="21"/>
          <w:sz w:val="24"/>
          <w:szCs w:val="24"/>
          <w:highlight w:val="none"/>
        </w:rPr>
        <w:t>运行。重要负荷均由两段母线同时供给，确保不间断供电。</w:t>
      </w:r>
    </w:p>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lang w:val="zh-CN"/>
        </w:rPr>
      </w:pPr>
      <w:r>
        <w:rPr>
          <w:rFonts w:hint="default" w:ascii="Times New Roman" w:hAnsi="Times New Roman" w:eastAsia="宋体" w:cs="Times New Roman"/>
          <w:snapToGrid w:val="0"/>
          <w:color w:val="auto"/>
          <w:kern w:val="21"/>
          <w:sz w:val="24"/>
          <w:szCs w:val="24"/>
          <w:highlight w:val="none"/>
          <w:lang w:val="zh-CN"/>
        </w:rPr>
        <w:t>3.</w:t>
      </w:r>
      <w:r>
        <w:rPr>
          <w:rFonts w:hint="default" w:ascii="Times New Roman" w:hAnsi="Times New Roman" w:eastAsia="宋体" w:cs="Times New Roman"/>
          <w:snapToGrid w:val="0"/>
          <w:color w:val="auto"/>
          <w:kern w:val="21"/>
          <w:sz w:val="24"/>
          <w:szCs w:val="24"/>
          <w:highlight w:val="none"/>
          <w:lang w:val="en-US" w:eastAsia="zh-CN"/>
        </w:rPr>
        <w:t>5</w:t>
      </w:r>
      <w:r>
        <w:rPr>
          <w:rFonts w:hint="default" w:ascii="Times New Roman" w:hAnsi="Times New Roman" w:eastAsia="宋体" w:cs="Times New Roman"/>
          <w:snapToGrid w:val="0"/>
          <w:color w:val="auto"/>
          <w:kern w:val="21"/>
          <w:sz w:val="24"/>
          <w:szCs w:val="24"/>
          <w:highlight w:val="none"/>
          <w:lang w:val="zh-CN"/>
        </w:rPr>
        <w:t>.</w:t>
      </w:r>
      <w:r>
        <w:rPr>
          <w:rFonts w:hint="default" w:ascii="Times New Roman" w:hAnsi="Times New Roman" w:eastAsia="宋体"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zh-CN"/>
        </w:rPr>
        <w:t xml:space="preserve">  全站照明</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rPr>
      </w:pPr>
      <w:bookmarkStart w:id="232" w:name="_Toc27054"/>
      <w:bookmarkStart w:id="233" w:name="_Toc17635"/>
      <w:r>
        <w:rPr>
          <w:rFonts w:hint="default" w:ascii="Times New Roman" w:hAnsi="Times New Roman" w:cs="Times New Roman"/>
          <w:snapToGrid w:val="0"/>
          <w:color w:val="auto"/>
          <w:kern w:val="21"/>
          <w:sz w:val="24"/>
          <w:szCs w:val="24"/>
          <w:highlight w:val="none"/>
          <w:lang w:val="en-US" w:eastAsia="zh-CN"/>
        </w:rPr>
        <w:t>站内</w:t>
      </w:r>
      <w:r>
        <w:rPr>
          <w:rFonts w:hint="default" w:ascii="Times New Roman" w:hAnsi="Times New Roman" w:cs="Times New Roman"/>
          <w:snapToGrid w:val="0"/>
          <w:color w:val="auto"/>
          <w:kern w:val="21"/>
          <w:sz w:val="24"/>
          <w:szCs w:val="24"/>
          <w:highlight w:val="none"/>
          <w:lang w:val="zh-CN"/>
        </w:rPr>
        <w:t>照明灯具已按规划规模配置。</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经校核，本期不需要新增照明灯具。</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snapToGrid/>
        <w:spacing w:line="460" w:lineRule="exact"/>
        <w:outlineLvl w:val="1"/>
        <w:rPr>
          <w:rFonts w:hint="default" w:ascii="Times New Roman" w:hAnsi="Times New Roman" w:eastAsia="宋体" w:cs="Times New Roman"/>
          <w:color w:val="auto"/>
          <w:kern w:val="21"/>
          <w:sz w:val="24"/>
          <w:szCs w:val="24"/>
          <w:highlight w:val="none"/>
        </w:rPr>
      </w:pPr>
      <w:bookmarkStart w:id="234" w:name="_Toc29764"/>
      <w:r>
        <w:rPr>
          <w:rFonts w:hint="default" w:ascii="Times New Roman" w:hAnsi="Times New Roman" w:eastAsia="宋体" w:cs="Times New Roman"/>
          <w:color w:val="auto"/>
          <w:kern w:val="21"/>
          <w:sz w:val="24"/>
          <w:szCs w:val="24"/>
          <w:highlight w:val="none"/>
        </w:rPr>
        <w:t>3.</w:t>
      </w:r>
      <w:r>
        <w:rPr>
          <w:rFonts w:hint="default" w:ascii="Times New Roman" w:hAnsi="Times New Roman" w:eastAsia="宋体" w:cs="Times New Roman"/>
          <w:color w:val="auto"/>
          <w:kern w:val="21"/>
          <w:sz w:val="24"/>
          <w:szCs w:val="24"/>
          <w:highlight w:val="none"/>
          <w:lang w:val="en-US" w:eastAsia="zh-CN"/>
        </w:rPr>
        <w:t>6</w:t>
      </w:r>
      <w:r>
        <w:rPr>
          <w:rFonts w:hint="default" w:ascii="Times New Roman" w:hAnsi="Times New Roman" w:eastAsia="宋体" w:cs="Times New Roman"/>
          <w:color w:val="auto"/>
          <w:kern w:val="21"/>
          <w:sz w:val="24"/>
          <w:szCs w:val="24"/>
          <w:highlight w:val="none"/>
        </w:rPr>
        <w:t xml:space="preserve">  防雷接地</w:t>
      </w:r>
      <w:bookmarkEnd w:id="232"/>
      <w:bookmarkEnd w:id="234"/>
    </w:p>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宋体" w:cs="Times New Roman"/>
          <w:color w:val="auto"/>
          <w:kern w:val="4"/>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6</w:t>
      </w:r>
      <w:r>
        <w:rPr>
          <w:rFonts w:hint="default" w:ascii="Times New Roman" w:hAnsi="Times New Roman" w:eastAsia="宋体" w:cs="Times New Roman"/>
          <w:snapToGrid w:val="0"/>
          <w:color w:val="auto"/>
          <w:kern w:val="21"/>
          <w:sz w:val="24"/>
          <w:szCs w:val="24"/>
          <w:highlight w:val="none"/>
        </w:rPr>
        <w:t xml:space="preserve">.1  </w:t>
      </w:r>
      <w:r>
        <w:rPr>
          <w:rFonts w:hint="default" w:ascii="Times New Roman" w:hAnsi="Times New Roman" w:cs="Times New Roman"/>
          <w:snapToGrid w:val="0"/>
          <w:color w:val="auto"/>
          <w:kern w:val="21"/>
          <w:sz w:val="24"/>
          <w:szCs w:val="24"/>
          <w:highlight w:val="none"/>
        </w:rPr>
        <w:t xml:space="preserve">过电压保护 </w:t>
      </w:r>
    </w:p>
    <w:p>
      <w:pPr>
        <w:keepNext w:val="0"/>
        <w:keepLines w:val="0"/>
        <w:pageBreakBefore w:val="0"/>
        <w:kinsoku/>
        <w:wordWrap/>
        <w:overflowPunct/>
        <w:topLinePunct w:val="0"/>
        <w:autoSpaceDE/>
        <w:autoSpaceDN/>
        <w:bidi w:val="0"/>
        <w:adjustRightInd/>
        <w:snapToGrid/>
        <w:spacing w:line="460" w:lineRule="exact"/>
        <w:ind w:firstLine="56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变电站的过电压保护主要包括防直击雷、防雷电侵入波等项内容。</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本站共架设</w:t>
      </w:r>
      <w:r>
        <w:rPr>
          <w:rFonts w:hint="default" w:ascii="Times New Roman" w:hAnsi="Times New Roman" w:cs="Times New Roman"/>
          <w:snapToGrid w:val="0"/>
          <w:color w:val="auto"/>
          <w:kern w:val="21"/>
          <w:sz w:val="24"/>
          <w:szCs w:val="24"/>
          <w:highlight w:val="none"/>
          <w:lang w:val="en-US" w:eastAsia="zh-CN"/>
        </w:rPr>
        <w:t>一</w:t>
      </w:r>
      <w:r>
        <w:rPr>
          <w:rFonts w:hint="default" w:ascii="Times New Roman" w:hAnsi="Times New Roman" w:cs="Times New Roman"/>
          <w:snapToGrid w:val="0"/>
          <w:color w:val="auto"/>
          <w:kern w:val="21"/>
          <w:sz w:val="24"/>
          <w:szCs w:val="24"/>
          <w:highlight w:val="none"/>
        </w:rPr>
        <w:t>根</w:t>
      </w:r>
      <w:r>
        <w:rPr>
          <w:rFonts w:hint="default" w:ascii="Times New Roman" w:hAnsi="Times New Roman" w:cs="Times New Roman"/>
          <w:snapToGrid w:val="0"/>
          <w:color w:val="auto"/>
          <w:kern w:val="21"/>
          <w:sz w:val="24"/>
          <w:szCs w:val="24"/>
          <w:highlight w:val="none"/>
          <w:lang w:val="en-US" w:eastAsia="zh-CN"/>
        </w:rPr>
        <w:t>放电</w:t>
      </w:r>
      <w:r>
        <w:rPr>
          <w:rFonts w:hint="default" w:ascii="Times New Roman" w:hAnsi="Times New Roman" w:cs="Times New Roman"/>
          <w:snapToGrid w:val="0"/>
          <w:color w:val="auto"/>
          <w:kern w:val="21"/>
          <w:sz w:val="24"/>
          <w:szCs w:val="24"/>
          <w:highlight w:val="none"/>
        </w:rPr>
        <w:t>避雷针</w:t>
      </w:r>
      <w:r>
        <w:rPr>
          <w:rFonts w:hint="default" w:ascii="Times New Roman" w:hAnsi="Times New Roman" w:cs="Times New Roman"/>
          <w:snapToGrid w:val="0"/>
          <w:color w:val="auto"/>
          <w:kern w:val="21"/>
          <w:sz w:val="24"/>
          <w:szCs w:val="24"/>
          <w:highlight w:val="none"/>
          <w:lang w:eastAsia="zh-CN"/>
        </w:rPr>
        <w:t>，配电</w:t>
      </w:r>
      <w:r>
        <w:rPr>
          <w:rFonts w:hint="default" w:ascii="Times New Roman" w:hAnsi="Times New Roman" w:cs="Times New Roman"/>
          <w:snapToGrid w:val="0"/>
          <w:color w:val="auto"/>
          <w:kern w:val="21"/>
          <w:sz w:val="24"/>
          <w:szCs w:val="24"/>
          <w:highlight w:val="none"/>
          <w:lang w:val="en-US" w:eastAsia="zh-CN"/>
        </w:rPr>
        <w:t>装置</w:t>
      </w:r>
      <w:r>
        <w:rPr>
          <w:rFonts w:hint="default" w:ascii="Times New Roman" w:hAnsi="Times New Roman" w:cs="Times New Roman"/>
          <w:snapToGrid w:val="0"/>
          <w:color w:val="auto"/>
          <w:kern w:val="21"/>
          <w:sz w:val="24"/>
          <w:szCs w:val="24"/>
          <w:highlight w:val="none"/>
          <w:lang w:eastAsia="zh-CN"/>
        </w:rPr>
        <w:t>楼屋顶做避雷带加以综合保护，</w:t>
      </w:r>
      <w:r>
        <w:rPr>
          <w:rFonts w:hint="default" w:ascii="Times New Roman" w:hAnsi="Times New Roman" w:cs="Times New Roman"/>
          <w:snapToGrid w:val="0"/>
          <w:color w:val="auto"/>
          <w:kern w:val="21"/>
          <w:sz w:val="24"/>
          <w:szCs w:val="24"/>
          <w:highlight w:val="none"/>
        </w:rPr>
        <w:t>根据防雷保护计算，各级电压配电装置均处于避雷针的联合保护范围内。</w:t>
      </w:r>
    </w:p>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3.</w:t>
      </w:r>
      <w:r>
        <w:rPr>
          <w:rFonts w:hint="default" w:ascii="Times New Roman" w:hAnsi="Times New Roman" w:eastAsia="宋体" w:cs="Times New Roman"/>
          <w:snapToGrid w:val="0"/>
          <w:color w:val="auto"/>
          <w:kern w:val="21"/>
          <w:sz w:val="24"/>
          <w:szCs w:val="24"/>
          <w:highlight w:val="none"/>
          <w:lang w:val="en-US" w:eastAsia="zh-CN"/>
        </w:rPr>
        <w:t>6</w:t>
      </w:r>
      <w:r>
        <w:rPr>
          <w:rFonts w:hint="default" w:ascii="Times New Roman" w:hAnsi="Times New Roman" w:eastAsia="宋体" w:cs="Times New Roman"/>
          <w:snapToGrid w:val="0"/>
          <w:color w:val="auto"/>
          <w:kern w:val="21"/>
          <w:sz w:val="24"/>
          <w:szCs w:val="24"/>
          <w:highlight w:val="none"/>
        </w:rPr>
        <w:t>.2  全站接地</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eastAsia="zh-CN"/>
        </w:rPr>
      </w:pPr>
      <w:bookmarkStart w:id="235" w:name="_Toc8009"/>
      <w:r>
        <w:rPr>
          <w:rFonts w:hint="default" w:ascii="Times New Roman" w:hAnsi="Times New Roman" w:cs="Times New Roman"/>
          <w:snapToGrid w:val="0"/>
          <w:color w:val="auto"/>
          <w:kern w:val="21"/>
          <w:sz w:val="24"/>
          <w:szCs w:val="24"/>
          <w:highlight w:val="none"/>
          <w:lang w:eastAsia="zh-CN"/>
        </w:rPr>
        <w:t>本站接地网原选用</w:t>
      </w:r>
      <w:r>
        <w:rPr>
          <w:rFonts w:hint="default" w:ascii="Times New Roman" w:hAnsi="Times New Roman" w:cs="Times New Roman"/>
          <w:snapToGrid w:val="0"/>
          <w:color w:val="auto"/>
          <w:kern w:val="21"/>
          <w:sz w:val="24"/>
          <w:szCs w:val="24"/>
          <w:highlight w:val="none"/>
          <w:lang w:val="en-US" w:eastAsia="zh-CN"/>
        </w:rPr>
        <w:t>6</w:t>
      </w:r>
      <w:r>
        <w:rPr>
          <w:rFonts w:hint="default" w:ascii="Times New Roman" w:hAnsi="Times New Roman" w:cs="Times New Roman"/>
          <w:snapToGrid w:val="0"/>
          <w:color w:val="auto"/>
          <w:kern w:val="21"/>
          <w:sz w:val="24"/>
          <w:szCs w:val="24"/>
          <w:highlight w:val="none"/>
          <w:lang w:eastAsia="zh-CN"/>
        </w:rPr>
        <w:t>0×</w:t>
      </w:r>
      <w:r>
        <w:rPr>
          <w:rFonts w:hint="default" w:ascii="Times New Roman" w:hAnsi="Times New Roman" w:cs="Times New Roman"/>
          <w:snapToGrid w:val="0"/>
          <w:color w:val="auto"/>
          <w:kern w:val="21"/>
          <w:sz w:val="24"/>
          <w:szCs w:val="24"/>
          <w:highlight w:val="none"/>
          <w:lang w:val="en-US" w:eastAsia="zh-CN"/>
        </w:rPr>
        <w:t>6</w:t>
      </w:r>
      <w:r>
        <w:rPr>
          <w:rFonts w:hint="default" w:ascii="Times New Roman" w:hAnsi="Times New Roman" w:cs="Times New Roman"/>
          <w:snapToGrid w:val="0"/>
          <w:color w:val="auto"/>
          <w:kern w:val="21"/>
          <w:sz w:val="24"/>
          <w:szCs w:val="24"/>
          <w:highlight w:val="none"/>
          <w:lang w:eastAsia="zh-CN"/>
        </w:rPr>
        <w:t>扁钢作水平接地主网，以50×5的角钢作垂直接地极，选用</w:t>
      </w:r>
      <w:r>
        <w:rPr>
          <w:rFonts w:hint="default" w:ascii="Times New Roman" w:hAnsi="Times New Roman" w:cs="Times New Roman"/>
          <w:snapToGrid w:val="0"/>
          <w:color w:val="auto"/>
          <w:kern w:val="21"/>
          <w:sz w:val="24"/>
          <w:szCs w:val="24"/>
          <w:highlight w:val="none"/>
          <w:lang w:val="en-US" w:eastAsia="zh-CN"/>
        </w:rPr>
        <w:t>6</w:t>
      </w:r>
      <w:r>
        <w:rPr>
          <w:rFonts w:hint="default" w:ascii="Times New Roman" w:hAnsi="Times New Roman" w:cs="Times New Roman"/>
          <w:snapToGrid w:val="0"/>
          <w:color w:val="auto"/>
          <w:kern w:val="21"/>
          <w:sz w:val="24"/>
          <w:szCs w:val="24"/>
          <w:highlight w:val="none"/>
          <w:lang w:eastAsia="zh-CN"/>
        </w:rPr>
        <w:t>0×8扁钢作设备引下线。</w:t>
      </w:r>
      <w:r>
        <w:rPr>
          <w:rFonts w:hint="default" w:ascii="Times New Roman" w:hAnsi="Times New Roman" w:cs="Times New Roman"/>
          <w:snapToGrid w:val="0"/>
          <w:color w:val="auto"/>
          <w:kern w:val="21"/>
          <w:sz w:val="24"/>
          <w:szCs w:val="24"/>
          <w:highlight w:val="none"/>
          <w:lang w:val="zh-CN" w:eastAsia="zh-CN"/>
        </w:rPr>
        <w:t>接地电阻、跨步电压及接触电势均满足要求。</w:t>
      </w:r>
      <w:r>
        <w:rPr>
          <w:rFonts w:hint="default" w:ascii="Times New Roman" w:hAnsi="Times New Roman" w:cs="Times New Roman"/>
          <w:snapToGrid w:val="0"/>
          <w:color w:val="auto"/>
          <w:kern w:val="21"/>
          <w:sz w:val="24"/>
          <w:szCs w:val="24"/>
          <w:highlight w:val="none"/>
          <w:lang w:eastAsia="zh-CN"/>
        </w:rPr>
        <w:t>本期仅做设备支架接地，选用60×</w:t>
      </w:r>
      <w:r>
        <w:rPr>
          <w:rFonts w:hint="default" w:ascii="Times New Roman" w:hAnsi="Times New Roman" w:cs="Times New Roman"/>
          <w:snapToGrid w:val="0"/>
          <w:color w:val="auto"/>
          <w:kern w:val="21"/>
          <w:sz w:val="24"/>
          <w:szCs w:val="24"/>
          <w:highlight w:val="none"/>
          <w:lang w:val="en-US" w:eastAsia="zh-CN"/>
        </w:rPr>
        <w:t>8</w:t>
      </w:r>
      <w:r>
        <w:rPr>
          <w:rFonts w:hint="default" w:ascii="Times New Roman" w:hAnsi="Times New Roman" w:cs="Times New Roman"/>
          <w:snapToGrid w:val="0"/>
          <w:color w:val="auto"/>
          <w:kern w:val="21"/>
          <w:sz w:val="24"/>
          <w:szCs w:val="24"/>
          <w:highlight w:val="none"/>
          <w:lang w:eastAsia="zh-CN"/>
        </w:rPr>
        <w:t>扁钢作设备引下线，与原接地网有效连接。</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snapToGrid/>
        <w:spacing w:line="460" w:lineRule="exact"/>
        <w:outlineLvl w:val="1"/>
        <w:rPr>
          <w:rFonts w:hint="default" w:ascii="Times New Roman" w:hAnsi="Times New Roman" w:eastAsia="宋体" w:cs="Times New Roman"/>
          <w:color w:val="auto"/>
          <w:kern w:val="21"/>
          <w:sz w:val="24"/>
          <w:szCs w:val="24"/>
          <w:highlight w:val="none"/>
        </w:rPr>
      </w:pPr>
      <w:bookmarkStart w:id="236" w:name="_Toc15059"/>
      <w:r>
        <w:rPr>
          <w:rFonts w:hint="default" w:ascii="Times New Roman" w:hAnsi="Times New Roman" w:eastAsia="宋体" w:cs="Times New Roman"/>
          <w:color w:val="auto"/>
          <w:kern w:val="21"/>
          <w:sz w:val="24"/>
          <w:szCs w:val="24"/>
          <w:highlight w:val="none"/>
        </w:rPr>
        <w:t>3.</w:t>
      </w:r>
      <w:r>
        <w:rPr>
          <w:rFonts w:hint="default" w:ascii="Times New Roman" w:hAnsi="Times New Roman" w:eastAsia="宋体" w:cs="Times New Roman"/>
          <w:color w:val="auto"/>
          <w:kern w:val="21"/>
          <w:sz w:val="24"/>
          <w:szCs w:val="24"/>
          <w:highlight w:val="none"/>
          <w:lang w:val="en-US" w:eastAsia="zh-CN"/>
        </w:rPr>
        <w:t>7</w:t>
      </w:r>
      <w:r>
        <w:rPr>
          <w:rFonts w:hint="default" w:ascii="Times New Roman" w:hAnsi="Times New Roman" w:eastAsia="宋体" w:cs="Times New Roman"/>
          <w:color w:val="auto"/>
          <w:kern w:val="21"/>
          <w:sz w:val="24"/>
          <w:szCs w:val="24"/>
          <w:highlight w:val="none"/>
        </w:rPr>
        <w:t xml:space="preserve">  电缆设施</w:t>
      </w:r>
      <w:bookmarkEnd w:id="235"/>
      <w:bookmarkEnd w:id="236"/>
    </w:p>
    <w:p>
      <w:pPr>
        <w:keepNext w:val="0"/>
        <w:keepLines w:val="0"/>
        <w:pageBreakBefore w:val="0"/>
        <w:widowControl w:val="0"/>
        <w:kinsoku/>
        <w:wordWrap/>
        <w:overflowPunct/>
        <w:topLinePunct w:val="0"/>
        <w:autoSpaceDE/>
        <w:autoSpaceDN/>
        <w:bidi w:val="0"/>
        <w:adjustRightInd/>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（1）电缆设施</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eastAsia="zh-CN"/>
        </w:rPr>
        <w:t>户外电缆采用电缆沟、直埋和穿管敷设方式，10kV配电装置室、二次设备室、通过电缆</w:t>
      </w:r>
      <w:r>
        <w:rPr>
          <w:rFonts w:hint="default" w:ascii="Times New Roman" w:hAnsi="Times New Roman" w:cs="Times New Roman"/>
          <w:snapToGrid w:val="0"/>
          <w:color w:val="auto"/>
          <w:kern w:val="21"/>
          <w:sz w:val="24"/>
          <w:szCs w:val="24"/>
          <w:highlight w:val="none"/>
          <w:lang w:val="en-US" w:eastAsia="zh-CN"/>
        </w:rPr>
        <w:t>沟</w:t>
      </w:r>
      <w:r>
        <w:rPr>
          <w:rFonts w:hint="default" w:ascii="Times New Roman" w:hAnsi="Times New Roman" w:cs="Times New Roman"/>
          <w:snapToGrid w:val="0"/>
          <w:color w:val="auto"/>
          <w:kern w:val="21"/>
          <w:sz w:val="24"/>
          <w:szCs w:val="24"/>
          <w:highlight w:val="none"/>
          <w:lang w:eastAsia="zh-CN"/>
        </w:rPr>
        <w:t>与电缆竖井敷设。本期电容器、</w:t>
      </w:r>
      <w:r>
        <w:rPr>
          <w:rFonts w:hint="default" w:ascii="Times New Roman" w:hAnsi="Times New Roman" w:cs="Times New Roman"/>
          <w:snapToGrid w:val="0"/>
          <w:color w:val="auto"/>
          <w:kern w:val="21"/>
          <w:sz w:val="24"/>
          <w:szCs w:val="24"/>
          <w:highlight w:val="none"/>
          <w:lang w:val="en-US" w:eastAsia="zh-CN"/>
        </w:rPr>
        <w:t>接地变</w:t>
      </w:r>
      <w:r>
        <w:rPr>
          <w:rFonts w:hint="default" w:ascii="Times New Roman" w:hAnsi="Times New Roman" w:cs="Times New Roman"/>
          <w:snapToGrid w:val="0"/>
          <w:color w:val="auto"/>
          <w:kern w:val="21"/>
          <w:sz w:val="24"/>
          <w:szCs w:val="24"/>
          <w:highlight w:val="none"/>
          <w:lang w:eastAsia="zh-CN"/>
        </w:rPr>
        <w:t>电缆通过</w:t>
      </w:r>
      <w:r>
        <w:rPr>
          <w:rFonts w:hint="default" w:ascii="Times New Roman" w:hAnsi="Times New Roman" w:cs="Times New Roman"/>
          <w:snapToGrid w:val="0"/>
          <w:color w:val="auto"/>
          <w:kern w:val="21"/>
          <w:sz w:val="24"/>
          <w:szCs w:val="24"/>
          <w:highlight w:val="none"/>
          <w:lang w:val="en-US" w:eastAsia="zh-CN"/>
        </w:rPr>
        <w:t>穿管</w:t>
      </w:r>
      <w:r>
        <w:rPr>
          <w:rFonts w:hint="default" w:ascii="Times New Roman" w:hAnsi="Times New Roman" w:cs="Times New Roman"/>
          <w:snapToGrid w:val="0"/>
          <w:color w:val="auto"/>
          <w:kern w:val="21"/>
          <w:sz w:val="24"/>
          <w:szCs w:val="24"/>
          <w:highlight w:val="none"/>
          <w:lang w:eastAsia="zh-CN"/>
        </w:rPr>
        <w:t>直埋至电缆沟然后接入10kV</w:t>
      </w:r>
      <w:r>
        <w:rPr>
          <w:rFonts w:hint="default" w:ascii="Times New Roman" w:hAnsi="Times New Roman" w:cs="Times New Roman"/>
          <w:snapToGrid w:val="0"/>
          <w:color w:val="auto"/>
          <w:kern w:val="21"/>
          <w:sz w:val="24"/>
          <w:szCs w:val="24"/>
          <w:highlight w:val="none"/>
          <w:lang w:val="en-US" w:eastAsia="zh-CN"/>
        </w:rPr>
        <w:t>配电装置</w:t>
      </w:r>
      <w:r>
        <w:rPr>
          <w:rFonts w:hint="default" w:ascii="Times New Roman" w:hAnsi="Times New Roman" w:cs="Times New Roman"/>
          <w:snapToGrid w:val="0"/>
          <w:color w:val="auto"/>
          <w:kern w:val="21"/>
          <w:sz w:val="24"/>
          <w:szCs w:val="24"/>
          <w:highlight w:val="none"/>
          <w:lang w:eastAsia="zh-CN"/>
        </w:rPr>
        <w:t>室。</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val="zh-CN" w:eastAsia="zh-CN"/>
        </w:rPr>
        <w:t>变电站在通向二次设备室及高低压开关柜盘底开孔处采取有效阻燃的封堵处理，在主要回路的</w:t>
      </w:r>
      <w:r>
        <w:rPr>
          <w:rFonts w:hint="default" w:ascii="Times New Roman" w:hAnsi="Times New Roman" w:cs="Times New Roman"/>
          <w:snapToGrid w:val="0"/>
          <w:color w:val="auto"/>
          <w:kern w:val="21"/>
          <w:sz w:val="24"/>
          <w:szCs w:val="24"/>
          <w:highlight w:val="none"/>
          <w:lang w:eastAsia="zh-CN"/>
        </w:rPr>
        <w:t>电缆夹层与电缆竖井</w:t>
      </w:r>
      <w:r>
        <w:rPr>
          <w:rFonts w:hint="default" w:ascii="Times New Roman" w:hAnsi="Times New Roman" w:cs="Times New Roman"/>
          <w:snapToGrid w:val="0"/>
          <w:color w:val="auto"/>
          <w:kern w:val="21"/>
          <w:sz w:val="24"/>
          <w:szCs w:val="24"/>
          <w:highlight w:val="none"/>
          <w:lang w:val="zh-CN" w:eastAsia="zh-CN"/>
        </w:rPr>
        <w:t>中的适当部位设置阻火段，在靠近含油设备(主变等)的电缆沟盖板予以密封处理。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（2）防火和阻燃措施</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结合《电力工程电缆设计</w:t>
      </w:r>
      <w:r>
        <w:rPr>
          <w:rFonts w:hint="default" w:ascii="Times New Roman" w:hAnsi="Times New Roman" w:cs="Times New Roman"/>
          <w:snapToGrid w:val="0"/>
          <w:color w:val="auto"/>
          <w:kern w:val="21"/>
          <w:sz w:val="24"/>
          <w:szCs w:val="24"/>
          <w:highlight w:val="none"/>
          <w:lang w:val="en-US" w:eastAsia="zh-CN"/>
        </w:rPr>
        <w:t>标准</w:t>
      </w:r>
      <w:r>
        <w:rPr>
          <w:rFonts w:hint="default" w:ascii="Times New Roman" w:hAnsi="Times New Roman" w:cs="Times New Roman"/>
          <w:snapToGrid w:val="0"/>
          <w:color w:val="auto"/>
          <w:kern w:val="21"/>
          <w:sz w:val="24"/>
          <w:szCs w:val="24"/>
          <w:highlight w:val="none"/>
          <w:lang w:val="zh-CN" w:eastAsia="zh-CN"/>
        </w:rPr>
        <w:t>》（GB50217—20</w:t>
      </w:r>
      <w:r>
        <w:rPr>
          <w:rFonts w:hint="default" w:ascii="Times New Roman" w:hAnsi="Times New Roman" w:cs="Times New Roman"/>
          <w:snapToGrid w:val="0"/>
          <w:color w:val="auto"/>
          <w:kern w:val="21"/>
          <w:sz w:val="24"/>
          <w:szCs w:val="24"/>
          <w:highlight w:val="none"/>
          <w:lang w:val="en-US" w:eastAsia="zh-CN"/>
        </w:rPr>
        <w:t>18</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en-US" w:eastAsia="zh-CN"/>
        </w:rPr>
        <w:t>火力发电厂与变电站设计防火标准</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en-US" w:eastAsia="zh-CN"/>
        </w:rPr>
        <w:t>GB50229</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en-US" w:eastAsia="zh-CN"/>
        </w:rPr>
        <w:t>2019</w:t>
      </w:r>
      <w:r>
        <w:rPr>
          <w:rFonts w:hint="default" w:ascii="Times New Roman" w:hAnsi="Times New Roman" w:cs="Times New Roman"/>
          <w:snapToGrid w:val="0"/>
          <w:color w:val="auto"/>
          <w:kern w:val="21"/>
          <w:sz w:val="24"/>
          <w:szCs w:val="24"/>
          <w:highlight w:val="none"/>
          <w:lang w:val="zh-CN" w:eastAsia="zh-CN"/>
        </w:rPr>
        <w:t>），具体落实以下主要措施防止电缆着火延燃：</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1）在户外电缆沟至</w:t>
      </w:r>
      <w:r>
        <w:rPr>
          <w:rFonts w:hint="default" w:ascii="Times New Roman" w:hAnsi="Times New Roman" w:cs="Times New Roman"/>
          <w:snapToGrid w:val="0"/>
          <w:color w:val="auto"/>
          <w:kern w:val="21"/>
          <w:sz w:val="24"/>
          <w:szCs w:val="24"/>
          <w:highlight w:val="none"/>
          <w:lang w:val="en-US" w:eastAsia="zh-CN"/>
        </w:rPr>
        <w:t>配电装置</w:t>
      </w:r>
      <w:r>
        <w:rPr>
          <w:rFonts w:hint="default" w:ascii="Times New Roman" w:hAnsi="Times New Roman" w:cs="Times New Roman"/>
          <w:snapToGrid w:val="0"/>
          <w:color w:val="auto"/>
          <w:kern w:val="21"/>
          <w:sz w:val="24"/>
          <w:szCs w:val="24"/>
          <w:highlight w:val="none"/>
          <w:lang w:val="zh-CN" w:eastAsia="zh-CN"/>
        </w:rPr>
        <w:t>楼电缆沟接口处设置阻火墙和防鼠墙；</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2）在公用主电缆沟与引接分支电缆沟的接口处，多段配电装置对应的沟道适当分段等处设置阻火墙；</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3）电缆引至电气柜、屏、箱的开孔部位，电缆贯穿隔墙、底部电缆孔洞等处，采用耐火材料进行阻火封堵；</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4）电缆沟内每隔60m处设置阻火墙；</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5）屏、柜、箱底部1m长的电缆，户外电缆进入户内后1m长的电缆，阻火墙两侧各1m长的电缆，采用防火涂料涂刷；</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hint="default" w:ascii="Times New Roman" w:hAnsi="Times New Roman" w:cs="Times New Roman"/>
          <w:color w:val="auto"/>
          <w:kern w:val="2"/>
          <w:sz w:val="24"/>
          <w:szCs w:val="24"/>
          <w:highlight w:val="yellow"/>
          <w:lang w:val="zh-CN" w:eastAsia="zh-CN"/>
        </w:rPr>
      </w:pPr>
      <w:r>
        <w:rPr>
          <w:rFonts w:hint="default" w:ascii="Times New Roman" w:hAnsi="Times New Roman" w:cs="Times New Roman"/>
          <w:snapToGrid w:val="0"/>
          <w:color w:val="auto"/>
          <w:kern w:val="21"/>
          <w:sz w:val="24"/>
          <w:szCs w:val="24"/>
          <w:highlight w:val="none"/>
          <w:lang w:val="zh-CN" w:eastAsia="zh-CN"/>
        </w:rPr>
        <w:t>6）对靠近含油设备（如变压器、电流互感器）的电缆采用穿管敷设，邻近的电缆沟盖板用水泥沙浆作预密封处理。</w:t>
      </w:r>
      <w:bookmarkEnd w:id="233"/>
    </w:p>
    <w:p>
      <w:pPr>
        <w:pStyle w:val="4"/>
        <w:keepNext/>
        <w:keepLines/>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460" w:lineRule="exact"/>
        <w:ind w:left="0" w:leftChars="0" w:right="0" w:firstLine="0" w:firstLineChars="0"/>
        <w:jc w:val="both"/>
        <w:textAlignment w:val="baseline"/>
        <w:outlineLvl w:val="0"/>
        <w:rPr>
          <w:rFonts w:hint="default" w:ascii="Times New Roman" w:hAnsi="Times New Roman" w:cs="Times New Roman"/>
          <w:color w:val="auto"/>
          <w:sz w:val="24"/>
          <w:szCs w:val="24"/>
          <w:highlight w:val="none"/>
        </w:rPr>
      </w:pPr>
      <w:bookmarkStart w:id="237" w:name="_Toc28802"/>
      <w:bookmarkStart w:id="238" w:name="_Toc20868"/>
      <w:bookmarkStart w:id="239" w:name="_Toc296606670"/>
      <w:r>
        <w:rPr>
          <w:rFonts w:hint="default" w:ascii="Times New Roman" w:hAnsi="Times New Roman" w:cs="Times New Roman"/>
          <w:color w:val="auto"/>
          <w:kern w:val="21"/>
          <w:sz w:val="24"/>
          <w:szCs w:val="24"/>
          <w:highlight w:val="yellow"/>
          <w:lang w:val="en-US" w:eastAsia="zh-CN"/>
        </w:rPr>
        <w:br w:type="page"/>
      </w:r>
      <w:bookmarkEnd w:id="237"/>
      <w:bookmarkStart w:id="240" w:name="_Toc12076"/>
      <w:bookmarkStart w:id="241" w:name="OLE_LINK27"/>
      <w:r>
        <w:rPr>
          <w:rFonts w:hint="default" w:ascii="Times New Roman" w:hAnsi="Times New Roman" w:cs="Times New Roman"/>
          <w:color w:val="auto"/>
          <w:kern w:val="21"/>
          <w:sz w:val="24"/>
          <w:szCs w:val="24"/>
          <w:highlight w:val="none"/>
          <w:lang w:val="en-US" w:eastAsia="zh-CN"/>
        </w:rPr>
        <w:t>4  二次系统</w:t>
      </w:r>
      <w:bookmarkEnd w:id="240"/>
    </w:p>
    <w:p>
      <w:pPr>
        <w:pageBreakBefore w:val="0"/>
        <w:widowControl/>
        <w:tabs>
          <w:tab w:val="left" w:pos="360"/>
          <w:tab w:val="left" w:pos="540"/>
          <w:tab w:val="left" w:pos="567"/>
          <w:tab w:val="left" w:pos="897"/>
        </w:tabs>
        <w:kinsoku/>
        <w:wordWrap/>
        <w:overflowPunct/>
        <w:topLinePunct w:val="0"/>
        <w:bidi w:val="0"/>
        <w:adjustRightInd w:val="0"/>
        <w:spacing w:line="460" w:lineRule="exact"/>
        <w:outlineLvl w:val="1"/>
        <w:rPr>
          <w:rFonts w:hint="default" w:ascii="Times New Roman" w:hAnsi="Times New Roman" w:cs="Times New Roman"/>
          <w:color w:val="auto"/>
          <w:kern w:val="21"/>
          <w:sz w:val="24"/>
          <w:szCs w:val="24"/>
          <w:highlight w:val="none"/>
        </w:rPr>
      </w:pPr>
      <w:bookmarkStart w:id="242" w:name="_Toc17985"/>
      <w:r>
        <w:rPr>
          <w:rFonts w:hint="default" w:ascii="Times New Roman" w:hAnsi="Times New Roman" w:cs="Times New Roman"/>
          <w:color w:val="auto"/>
          <w:kern w:val="21"/>
          <w:sz w:val="24"/>
          <w:szCs w:val="24"/>
          <w:highlight w:val="none"/>
        </w:rPr>
        <w:t>4.1  系统继电保护及安全自动装置</w:t>
      </w:r>
      <w:bookmarkEnd w:id="242"/>
    </w:p>
    <w:p>
      <w:pPr>
        <w:pageBreakBefore w:val="0"/>
        <w:kinsoku/>
        <w:wordWrap/>
        <w:overflowPunct/>
        <w:topLinePunct w:val="0"/>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4.1.1  一次系统概况</w:t>
      </w:r>
    </w:p>
    <w:p>
      <w:pPr>
        <w:pageBreakBefore w:val="0"/>
        <w:widowControl/>
        <w:kinsoku/>
        <w:wordWrap/>
        <w:overflowPunct/>
        <w:topLinePunct w:val="0"/>
        <w:bidi w:val="0"/>
        <w:spacing w:line="460" w:lineRule="exact"/>
        <w:ind w:right="249" w:firstLine="480" w:firstLineChars="200"/>
        <w:jc w:val="left"/>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变110kV</w:t>
      </w:r>
      <w:r>
        <w:rPr>
          <w:rFonts w:hint="default" w:ascii="Times New Roman" w:hAnsi="Times New Roman" w:cs="Times New Roman"/>
          <w:color w:val="auto"/>
          <w:sz w:val="24"/>
          <w:szCs w:val="24"/>
          <w:highlight w:val="none"/>
          <w:lang w:val="en-US" w:eastAsia="zh-CN"/>
        </w:rPr>
        <w:t>规划</w:t>
      </w:r>
      <w:r>
        <w:rPr>
          <w:rFonts w:hint="default" w:ascii="Times New Roman" w:hAnsi="Times New Roman" w:cs="Times New Roman"/>
          <w:color w:val="auto"/>
          <w:sz w:val="24"/>
          <w:szCs w:val="24"/>
          <w:highlight w:val="none"/>
          <w:lang w:eastAsia="zh-CN"/>
        </w:rPr>
        <w:t>单母线接</w:t>
      </w:r>
      <w:r>
        <w:rPr>
          <w:rFonts w:hint="default" w:ascii="Times New Roman" w:hAnsi="Times New Roman" w:cs="Times New Roman"/>
          <w:color w:val="auto"/>
          <w:sz w:val="24"/>
          <w:szCs w:val="24"/>
          <w:highlight w:val="none"/>
        </w:rPr>
        <w:t>线，出线</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回；</w:t>
      </w:r>
      <w:r>
        <w:rPr>
          <w:rFonts w:hint="default" w:ascii="Times New Roman" w:hAnsi="Times New Roman" w:cs="Times New Roman"/>
          <w:color w:val="auto"/>
          <w:sz w:val="24"/>
          <w:szCs w:val="24"/>
          <w:highlight w:val="none"/>
          <w:lang w:eastAsia="zh-CN"/>
        </w:rPr>
        <w:t>已建单母线接</w:t>
      </w:r>
      <w:r>
        <w:rPr>
          <w:rFonts w:hint="default" w:ascii="Times New Roman" w:hAnsi="Times New Roman" w:cs="Times New Roman"/>
          <w:color w:val="auto"/>
          <w:sz w:val="24"/>
          <w:szCs w:val="24"/>
          <w:highlight w:val="none"/>
        </w:rPr>
        <w:t>线，出线</w:t>
      </w:r>
      <w:r>
        <w:rPr>
          <w:rFonts w:hint="default" w:ascii="Times New Roman" w:hAnsi="Times New Roman" w:cs="Times New Roman"/>
          <w:color w:val="auto"/>
          <w:sz w:val="24"/>
          <w:szCs w:val="24"/>
          <w:highlight w:val="none"/>
          <w:lang w:eastAsia="zh-CN"/>
        </w:rPr>
        <w:t>1</w:t>
      </w:r>
      <w:r>
        <w:rPr>
          <w:rFonts w:hint="default" w:ascii="Times New Roman" w:hAnsi="Times New Roman" w:cs="Times New Roman"/>
          <w:color w:val="auto"/>
          <w:sz w:val="24"/>
          <w:szCs w:val="24"/>
          <w:highlight w:val="none"/>
        </w:rPr>
        <w:t>回，即:</w:t>
      </w:r>
      <w:r>
        <w:rPr>
          <w:rFonts w:hint="default" w:ascii="Times New Roman" w:hAnsi="Times New Roman" w:cs="Times New Roman"/>
          <w:color w:val="auto"/>
          <w:sz w:val="24"/>
          <w:szCs w:val="24"/>
          <w:highlight w:val="none"/>
          <w:lang w:eastAsia="zh-CN"/>
        </w:rPr>
        <w:t>杜青</w:t>
      </w:r>
      <w:r>
        <w:rPr>
          <w:rFonts w:hint="default" w:ascii="Times New Roman" w:hAnsi="Times New Roman" w:cs="Times New Roman"/>
          <w:color w:val="auto"/>
          <w:sz w:val="24"/>
          <w:szCs w:val="24"/>
          <w:highlight w:val="none"/>
        </w:rPr>
        <w:t>线</w:t>
      </w:r>
      <w:r>
        <w:rPr>
          <w:rFonts w:hint="default" w:ascii="Times New Roman" w:hAnsi="Times New Roman" w:cs="Times New Roman"/>
          <w:color w:val="auto"/>
          <w:sz w:val="24"/>
          <w:szCs w:val="24"/>
          <w:highlight w:val="none"/>
          <w:lang w:eastAsia="zh-CN"/>
        </w:rPr>
        <w:t>，且杜青线T接熙彩变，本期无出线。</w:t>
      </w:r>
    </w:p>
    <w:p>
      <w:pPr>
        <w:pageBreakBefore w:val="0"/>
        <w:kinsoku/>
        <w:wordWrap/>
        <w:overflowPunct/>
        <w:topLinePunct w:val="0"/>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en-US" w:eastAsia="zh-CN"/>
        </w:rPr>
        <w:t>4.1.2  现状和存在的问题</w:t>
      </w:r>
    </w:p>
    <w:p>
      <w:pPr>
        <w:pageBreakBefore w:val="0"/>
        <w:kinsoku/>
        <w:wordWrap/>
        <w:overflowPunct/>
        <w:topLinePunct w:val="0"/>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en-US" w:eastAsia="zh-CN"/>
        </w:rPr>
        <w:t>11</w:t>
      </w:r>
      <w:r>
        <w:rPr>
          <w:rFonts w:hint="default" w:ascii="Times New Roman" w:hAnsi="Times New Roman" w:cs="Times New Roman"/>
          <w:snapToGrid w:val="0"/>
          <w:color w:val="auto"/>
          <w:kern w:val="21"/>
          <w:sz w:val="24"/>
          <w:szCs w:val="24"/>
          <w:highlight w:val="none"/>
        </w:rPr>
        <w:t>0kV</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lang w:eastAsia="zh-CN"/>
        </w:rPr>
        <w:t>变</w:t>
      </w:r>
      <w:r>
        <w:rPr>
          <w:rFonts w:hint="default" w:ascii="Times New Roman" w:hAnsi="Times New Roman" w:cs="Times New Roman"/>
          <w:color w:val="auto"/>
          <w:sz w:val="24"/>
          <w:szCs w:val="24"/>
          <w:highlight w:val="none"/>
          <w:lang w:val="zh-CN"/>
        </w:rPr>
        <w:t>现况</w:t>
      </w:r>
    </w:p>
    <w:p>
      <w:pPr>
        <w:pageBreakBefore w:val="0"/>
        <w:widowControl/>
        <w:kinsoku/>
        <w:wordWrap/>
        <w:overflowPunct/>
        <w:topLinePunct w:val="0"/>
        <w:bidi w:val="0"/>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0kV</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变为</w:t>
      </w:r>
      <w:r>
        <w:rPr>
          <w:rFonts w:hint="default" w:ascii="Times New Roman" w:hAnsi="Times New Roman" w:cs="Times New Roman"/>
          <w:color w:val="auto"/>
          <w:sz w:val="24"/>
          <w:szCs w:val="24"/>
          <w:highlight w:val="none"/>
          <w:lang w:eastAsia="zh-CN"/>
        </w:rPr>
        <w:t>常规</w:t>
      </w:r>
      <w:r>
        <w:rPr>
          <w:rFonts w:hint="default" w:ascii="Times New Roman" w:hAnsi="Times New Roman" w:cs="Times New Roman"/>
          <w:color w:val="auto"/>
          <w:sz w:val="24"/>
          <w:szCs w:val="24"/>
          <w:highlight w:val="none"/>
        </w:rPr>
        <w:t>变电站</w:t>
      </w:r>
      <w:r>
        <w:rPr>
          <w:rFonts w:hint="default" w:ascii="Times New Roman" w:hAnsi="Times New Roman" w:cs="Times New Roman"/>
          <w:color w:val="auto"/>
          <w:kern w:val="2"/>
          <w:sz w:val="24"/>
          <w:szCs w:val="24"/>
          <w:highlight w:val="none"/>
          <w:lang w:val="en-US" w:eastAsia="zh-CN"/>
        </w:rPr>
        <w:t>，2010年投入运</w:t>
      </w:r>
      <w:r>
        <w:rPr>
          <w:rFonts w:hint="default" w:ascii="Times New Roman" w:hAnsi="Times New Roman" w:cs="Times New Roman"/>
          <w:snapToGrid w:val="0"/>
          <w:color w:val="auto"/>
          <w:kern w:val="21"/>
          <w:sz w:val="24"/>
          <w:szCs w:val="24"/>
          <w:highlight w:val="none"/>
        </w:rPr>
        <w:t>行，采用</w:t>
      </w:r>
      <w:r>
        <w:rPr>
          <w:rFonts w:hint="default" w:ascii="Times New Roman" w:hAnsi="Times New Roman" w:cs="Times New Roman"/>
          <w:snapToGrid w:val="0"/>
          <w:color w:val="auto"/>
          <w:kern w:val="21"/>
          <w:sz w:val="24"/>
          <w:szCs w:val="24"/>
          <w:highlight w:val="none"/>
          <w:lang w:val="zh-CN"/>
        </w:rPr>
        <w:t>国电南瑞科技</w:t>
      </w:r>
      <w:r>
        <w:rPr>
          <w:rFonts w:hint="default" w:ascii="Times New Roman" w:hAnsi="Times New Roman" w:cs="Times New Roman"/>
          <w:color w:val="auto"/>
          <w:kern w:val="4"/>
          <w:sz w:val="24"/>
          <w:szCs w:val="24"/>
          <w:highlight w:val="none"/>
        </w:rPr>
        <w:t>的</w:t>
      </w:r>
      <w:r>
        <w:rPr>
          <w:rFonts w:hint="default" w:ascii="Times New Roman" w:hAnsi="Times New Roman" w:cs="Times New Roman"/>
          <w:color w:val="auto"/>
          <w:sz w:val="24"/>
          <w:szCs w:val="24"/>
          <w:highlight w:val="none"/>
        </w:rPr>
        <w:t>计算机监控系统。</w:t>
      </w:r>
    </w:p>
    <w:p>
      <w:pPr>
        <w:pageBreakBefore w:val="0"/>
        <w:widowControl/>
        <w:kinsoku/>
        <w:wordWrap/>
        <w:overflowPunct/>
        <w:topLinePunct w:val="0"/>
        <w:bidi w:val="0"/>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变110kV出线</w:t>
      </w:r>
      <w:r>
        <w:rPr>
          <w:rFonts w:hint="default" w:ascii="Times New Roman" w:hAnsi="Times New Roman" w:cs="Times New Roman"/>
          <w:color w:val="auto"/>
          <w:sz w:val="24"/>
          <w:szCs w:val="24"/>
          <w:highlight w:val="none"/>
          <w:lang w:eastAsia="zh-CN"/>
        </w:rPr>
        <w:t>1</w:t>
      </w:r>
      <w:r>
        <w:rPr>
          <w:rFonts w:hint="default" w:ascii="Times New Roman" w:hAnsi="Times New Roman" w:cs="Times New Roman"/>
          <w:color w:val="auto"/>
          <w:sz w:val="24"/>
          <w:szCs w:val="24"/>
          <w:highlight w:val="none"/>
        </w:rPr>
        <w:t>回，</w:t>
      </w:r>
      <w:r>
        <w:rPr>
          <w:rFonts w:hint="default" w:ascii="Times New Roman" w:hAnsi="Times New Roman" w:cs="Times New Roman"/>
          <w:color w:val="auto"/>
          <w:kern w:val="2"/>
          <w:sz w:val="24"/>
          <w:szCs w:val="24"/>
          <w:highlight w:val="none"/>
          <w:lang w:val="en-US" w:eastAsia="zh-CN"/>
        </w:rPr>
        <w:t>即:杜青线。</w:t>
      </w:r>
    </w:p>
    <w:p>
      <w:pPr>
        <w:pageBreakBefore w:val="0"/>
        <w:widowControl w:val="0"/>
        <w:kinsoku/>
        <w:wordWrap/>
        <w:overflowPunct/>
        <w:topLinePunct w:val="0"/>
        <w:autoSpaceDE w:val="0"/>
        <w:autoSpaceDN w:val="0"/>
        <w:bidi w:val="0"/>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kern w:val="2"/>
          <w:sz w:val="24"/>
          <w:szCs w:val="24"/>
          <w:highlight w:val="none"/>
          <w:lang w:val="en-US" w:eastAsia="zh-CN"/>
        </w:rPr>
        <w:t xml:space="preserve">    110kV</w:t>
      </w:r>
      <w:r>
        <w:rPr>
          <w:rFonts w:hint="default" w:ascii="Times New Roman" w:hAnsi="Times New Roman" w:cs="Times New Roman"/>
          <w:color w:val="auto"/>
          <w:sz w:val="24"/>
          <w:szCs w:val="24"/>
          <w:highlight w:val="none"/>
          <w:lang w:eastAsia="zh-CN"/>
        </w:rPr>
        <w:t>杜青</w:t>
      </w:r>
      <w:r>
        <w:rPr>
          <w:rFonts w:hint="default" w:ascii="Times New Roman" w:hAnsi="Times New Roman" w:cs="Times New Roman"/>
          <w:color w:val="auto"/>
          <w:sz w:val="24"/>
          <w:szCs w:val="24"/>
          <w:highlight w:val="none"/>
        </w:rPr>
        <w:t>线</w:t>
      </w:r>
      <w:r>
        <w:rPr>
          <w:rFonts w:hint="default" w:ascii="Times New Roman" w:hAnsi="Times New Roman" w:cs="Times New Roman"/>
          <w:color w:val="auto"/>
          <w:kern w:val="2"/>
          <w:sz w:val="24"/>
          <w:szCs w:val="24"/>
          <w:highlight w:val="none"/>
          <w:lang w:val="en-US" w:eastAsia="zh-CN"/>
        </w:rPr>
        <w:t>青山、杜家庵、安彩侧均已配置1套</w:t>
      </w:r>
      <w:r>
        <w:rPr>
          <w:rFonts w:hint="default" w:ascii="Times New Roman" w:hAnsi="Times New Roman" w:cs="Times New Roman"/>
          <w:snapToGrid w:val="0"/>
          <w:color w:val="auto"/>
          <w:kern w:val="28"/>
          <w:sz w:val="24"/>
          <w:szCs w:val="24"/>
          <w:highlight w:val="none"/>
          <w:lang w:val="zh-CN" w:eastAsia="zh-CN"/>
        </w:rPr>
        <w:t>2019年</w:t>
      </w:r>
      <w:r>
        <w:rPr>
          <w:rFonts w:hint="default" w:ascii="Times New Roman" w:hAnsi="Times New Roman" w:cs="Times New Roman"/>
          <w:snapToGrid w:val="0"/>
          <w:color w:val="auto"/>
          <w:kern w:val="28"/>
          <w:sz w:val="24"/>
          <w:szCs w:val="24"/>
          <w:highlight w:val="none"/>
          <w:lang w:val="en-US" w:eastAsia="zh-CN"/>
        </w:rPr>
        <w:t>国电南瑞</w:t>
      </w:r>
      <w:r>
        <w:rPr>
          <w:rFonts w:hint="default" w:ascii="Times New Roman" w:hAnsi="Times New Roman" w:cs="Times New Roman"/>
          <w:snapToGrid w:val="0"/>
          <w:color w:val="auto"/>
          <w:kern w:val="28"/>
          <w:sz w:val="24"/>
          <w:szCs w:val="24"/>
          <w:highlight w:val="none"/>
          <w:lang w:val="zh-CN" w:eastAsia="zh-CN"/>
        </w:rPr>
        <w:t>的</w:t>
      </w:r>
      <w:r>
        <w:rPr>
          <w:rFonts w:hint="default" w:ascii="Times New Roman" w:hAnsi="Times New Roman" w:cs="Times New Roman"/>
          <w:snapToGrid w:val="0"/>
          <w:color w:val="auto"/>
          <w:kern w:val="28"/>
          <w:sz w:val="24"/>
          <w:szCs w:val="24"/>
          <w:highlight w:val="none"/>
          <w:lang w:val="en-US" w:eastAsia="zh-CN"/>
        </w:rPr>
        <w:t>NSR-304T-G三端光差保护装置</w:t>
      </w:r>
      <w:r>
        <w:rPr>
          <w:rFonts w:hint="default" w:ascii="Times New Roman" w:hAnsi="Times New Roman" w:cs="Times New Roman"/>
          <w:color w:val="auto"/>
          <w:kern w:val="2"/>
          <w:sz w:val="24"/>
          <w:szCs w:val="24"/>
          <w:highlight w:val="none"/>
          <w:lang w:val="en-US" w:eastAsia="zh-CN"/>
        </w:rPr>
        <w:t>。</w:t>
      </w:r>
    </w:p>
    <w:p>
      <w:pPr>
        <w:pageBreakBefore w:val="0"/>
        <w:kinsoku/>
        <w:wordWrap/>
        <w:overflowPunct/>
        <w:topLinePunct w:val="0"/>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kern w:val="2"/>
          <w:sz w:val="24"/>
          <w:szCs w:val="24"/>
          <w:highlight w:val="none"/>
          <w:lang w:val="en-US" w:eastAsia="zh-CN"/>
        </w:rPr>
        <w:t>4.1.3  系统继电保护及安全自动配置</w:t>
      </w:r>
    </w:p>
    <w:p>
      <w:pPr>
        <w:pageBreakBefore w:val="0"/>
        <w:widowControl/>
        <w:kinsoku/>
        <w:wordWrap/>
        <w:overflowPunct/>
        <w:topLinePunct w:val="0"/>
        <w:bidi w:val="0"/>
        <w:spacing w:line="460" w:lineRule="exact"/>
        <w:ind w:firstLine="480" w:firstLineChars="200"/>
        <w:jc w:val="left"/>
        <w:rPr>
          <w:rFonts w:hint="default" w:ascii="Times New Roman" w:hAnsi="Times New Roman" w:cs="Times New Roman"/>
          <w:color w:val="auto"/>
          <w:spacing w:val="0"/>
          <w:kern w:val="2"/>
          <w:sz w:val="24"/>
          <w:szCs w:val="24"/>
          <w:highlight w:val="none"/>
        </w:rPr>
      </w:pPr>
      <w:r>
        <w:rPr>
          <w:rFonts w:hint="default" w:ascii="Times New Roman" w:hAnsi="Times New Roman" w:cs="Times New Roman"/>
          <w:color w:val="auto"/>
          <w:spacing w:val="0"/>
          <w:kern w:val="2"/>
          <w:sz w:val="24"/>
          <w:szCs w:val="24"/>
          <w:highlight w:val="none"/>
        </w:rPr>
        <w:t>本期</w:t>
      </w:r>
      <w:r>
        <w:rPr>
          <w:rFonts w:hint="default" w:ascii="Times New Roman" w:hAnsi="Times New Roman" w:cs="Times New Roman"/>
          <w:color w:val="auto"/>
          <w:sz w:val="24"/>
          <w:szCs w:val="24"/>
          <w:highlight w:val="none"/>
          <w:lang w:val="en-US" w:eastAsia="zh-CN"/>
        </w:rPr>
        <w:t>青山</w:t>
      </w:r>
      <w:r>
        <w:rPr>
          <w:rFonts w:hint="default" w:ascii="Times New Roman" w:hAnsi="Times New Roman" w:cs="Times New Roman"/>
          <w:color w:val="auto"/>
          <w:sz w:val="24"/>
          <w:szCs w:val="24"/>
          <w:highlight w:val="none"/>
        </w:rPr>
        <w:t>变</w:t>
      </w:r>
      <w:r>
        <w:rPr>
          <w:rFonts w:hint="default" w:ascii="Times New Roman" w:hAnsi="Times New Roman" w:cs="Times New Roman"/>
          <w:color w:val="auto"/>
          <w:spacing w:val="0"/>
          <w:kern w:val="2"/>
          <w:sz w:val="24"/>
          <w:szCs w:val="24"/>
          <w:highlight w:val="none"/>
        </w:rPr>
        <w:t>无出线，保护配置</w:t>
      </w:r>
      <w:r>
        <w:rPr>
          <w:rFonts w:hint="default" w:ascii="Times New Roman" w:hAnsi="Times New Roman" w:cs="Times New Roman"/>
          <w:color w:val="auto"/>
          <w:spacing w:val="0"/>
          <w:kern w:val="2"/>
          <w:sz w:val="24"/>
          <w:szCs w:val="24"/>
          <w:highlight w:val="none"/>
          <w:lang w:eastAsia="zh-CN"/>
        </w:rPr>
        <w:t>不变，保护配置满足本期工程要求</w:t>
      </w:r>
      <w:r>
        <w:rPr>
          <w:rFonts w:hint="default" w:ascii="Times New Roman" w:hAnsi="Times New Roman" w:cs="Times New Roman"/>
          <w:color w:val="auto"/>
          <w:spacing w:val="0"/>
          <w:kern w:val="2"/>
          <w:sz w:val="24"/>
          <w:szCs w:val="24"/>
          <w:highlight w:val="none"/>
        </w:rPr>
        <w:t>。</w:t>
      </w:r>
    </w:p>
    <w:p>
      <w:pPr>
        <w:pageBreakBefore w:val="0"/>
        <w:widowControl/>
        <w:tabs>
          <w:tab w:val="left" w:pos="360"/>
          <w:tab w:val="left" w:pos="540"/>
          <w:tab w:val="left" w:pos="567"/>
          <w:tab w:val="left" w:pos="897"/>
        </w:tabs>
        <w:kinsoku/>
        <w:wordWrap/>
        <w:overflowPunct/>
        <w:topLinePunct w:val="0"/>
        <w:bidi w:val="0"/>
        <w:adjustRightInd w:val="0"/>
        <w:spacing w:line="460" w:lineRule="exact"/>
        <w:outlineLvl w:val="1"/>
        <w:rPr>
          <w:rFonts w:hint="default" w:ascii="Times New Roman" w:hAnsi="Times New Roman" w:cs="Times New Roman"/>
          <w:color w:val="auto"/>
          <w:kern w:val="21"/>
          <w:sz w:val="24"/>
          <w:szCs w:val="24"/>
          <w:highlight w:val="none"/>
        </w:rPr>
      </w:pPr>
      <w:bookmarkStart w:id="243" w:name="_Toc17"/>
      <w:r>
        <w:rPr>
          <w:rFonts w:hint="default" w:ascii="Times New Roman" w:hAnsi="Times New Roman" w:cs="Times New Roman"/>
          <w:color w:val="auto"/>
          <w:kern w:val="21"/>
          <w:sz w:val="24"/>
          <w:szCs w:val="24"/>
          <w:highlight w:val="none"/>
        </w:rPr>
        <w:t>4.2  系统调度自动化</w:t>
      </w:r>
      <w:bookmarkEnd w:id="243"/>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4.2.1  调度自动化现状</w:t>
      </w:r>
    </w:p>
    <w:p>
      <w:pPr>
        <w:keepNext w:val="0"/>
        <w:keepLines w:val="0"/>
        <w:pageBreakBefore w:val="0"/>
        <w:widowControl/>
        <w:tabs>
          <w:tab w:val="left" w:pos="680"/>
        </w:tabs>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lang w:val="zh-CN"/>
        </w:rPr>
      </w:pPr>
      <w:r>
        <w:rPr>
          <w:rFonts w:hint="default" w:ascii="Times New Roman" w:hAnsi="Times New Roman" w:cs="Times New Roman"/>
          <w:color w:val="auto"/>
          <w:sz w:val="24"/>
          <w:szCs w:val="24"/>
          <w:highlight w:val="none"/>
        </w:rPr>
        <w:t>安阳地调目前运行的主站系统为国电南瑞公司生产的智能电网调度技术支持系统（D5000），2013年投入运行，容量能满足本期信息接入需求</w:t>
      </w:r>
      <w:r>
        <w:rPr>
          <w:rFonts w:hint="default" w:ascii="Times New Roman" w:hAnsi="Times New Roman" w:cs="Times New Roman"/>
          <w:color w:val="auto"/>
          <w:kern w:val="21"/>
          <w:sz w:val="24"/>
          <w:szCs w:val="24"/>
          <w:highlight w:val="none"/>
          <w:lang w:val="zh-CN"/>
        </w:rPr>
        <w:t>。</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4.2.2  远动系统</w:t>
      </w:r>
    </w:p>
    <w:p>
      <w:pPr>
        <w:pStyle w:val="26"/>
        <w:keepNext w:val="0"/>
        <w:keepLines w:val="0"/>
        <w:pageBreakBefore w:val="0"/>
        <w:numPr>
          <w:ilvl w:val="0"/>
          <w:numId w:val="0"/>
        </w:numPr>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rPr>
        <w:t>调度关系</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rPr>
        <w:t>11</w:t>
      </w:r>
      <w:r>
        <w:rPr>
          <w:rFonts w:hint="default" w:ascii="Times New Roman" w:hAnsi="Times New Roman" w:cs="Times New Roman"/>
          <w:color w:val="auto"/>
          <w:sz w:val="24"/>
          <w:szCs w:val="24"/>
          <w:highlight w:val="none"/>
          <w:lang w:val="zh-CN"/>
        </w:rPr>
        <w:t>0kV青山变属安阳地调</w:t>
      </w:r>
      <w:r>
        <w:rPr>
          <w:rFonts w:hint="default" w:ascii="Times New Roman" w:hAnsi="Times New Roman" w:cs="Times New Roman"/>
          <w:color w:val="auto"/>
          <w:sz w:val="24"/>
          <w:szCs w:val="24"/>
          <w:highlight w:val="none"/>
          <w:lang w:val="en-US" w:eastAsia="zh-CN"/>
        </w:rPr>
        <w:t>调度</w:t>
      </w:r>
      <w:r>
        <w:rPr>
          <w:rFonts w:hint="default" w:ascii="Times New Roman" w:hAnsi="Times New Roman" w:cs="Times New Roman"/>
          <w:color w:val="auto"/>
          <w:sz w:val="24"/>
          <w:szCs w:val="24"/>
          <w:highlight w:val="none"/>
          <w:lang w:val="zh-CN"/>
        </w:rPr>
        <w:t>管理，本期工程实施后，调度关系保持不变</w:t>
      </w:r>
      <w:r>
        <w:rPr>
          <w:rFonts w:hint="default" w:ascii="Times New Roman" w:hAnsi="Times New Roman" w:cs="Times New Roman"/>
          <w:color w:val="auto"/>
          <w:kern w:val="21"/>
          <w:sz w:val="24"/>
          <w:szCs w:val="24"/>
          <w:highlight w:val="none"/>
        </w:rPr>
        <w:t>。</w:t>
      </w:r>
    </w:p>
    <w:p>
      <w:pPr>
        <w:pStyle w:val="26"/>
        <w:keepNext w:val="0"/>
        <w:keepLines w:val="0"/>
        <w:pageBreakBefore w:val="0"/>
        <w:numPr>
          <w:ilvl w:val="0"/>
          <w:numId w:val="0"/>
        </w:numPr>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rPr>
        <w:t>远动系统现状</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w:t>
      </w:r>
      <w:r>
        <w:rPr>
          <w:rFonts w:hint="default" w:ascii="Times New Roman" w:hAnsi="Times New Roman" w:cs="Times New Roman"/>
          <w:color w:val="auto"/>
          <w:sz w:val="24"/>
          <w:szCs w:val="24"/>
          <w:highlight w:val="none"/>
          <w:lang w:val="zh-CN"/>
        </w:rPr>
        <w:t>0kV青山变现有</w:t>
      </w:r>
      <w:r>
        <w:rPr>
          <w:rFonts w:hint="default" w:ascii="Times New Roman" w:hAnsi="Times New Roman" w:cs="Times New Roman"/>
          <w:color w:val="auto"/>
          <w:sz w:val="24"/>
          <w:szCs w:val="24"/>
          <w:highlight w:val="none"/>
          <w:lang w:val="en-US" w:eastAsia="zh-CN"/>
        </w:rPr>
        <w:t>两套</w:t>
      </w:r>
      <w:r>
        <w:rPr>
          <w:rFonts w:hint="default" w:ascii="Times New Roman" w:hAnsi="Times New Roman" w:cs="Times New Roman"/>
          <w:color w:val="auto"/>
          <w:sz w:val="24"/>
          <w:szCs w:val="24"/>
          <w:highlight w:val="none"/>
          <w:lang w:val="zh-CN"/>
        </w:rPr>
        <w:t>远动装置，</w:t>
      </w:r>
      <w:r>
        <w:rPr>
          <w:rFonts w:hint="default" w:ascii="Times New Roman" w:hAnsi="Times New Roman" w:cs="Times New Roman"/>
          <w:color w:val="auto"/>
          <w:sz w:val="24"/>
          <w:szCs w:val="24"/>
          <w:highlight w:val="none"/>
          <w:lang w:val="en-US" w:eastAsia="zh-CN"/>
        </w:rPr>
        <w:t>设备容量</w:t>
      </w:r>
      <w:r>
        <w:rPr>
          <w:rFonts w:hint="default" w:ascii="Times New Roman" w:hAnsi="Times New Roman" w:cs="Times New Roman"/>
          <w:color w:val="auto"/>
          <w:sz w:val="24"/>
          <w:szCs w:val="24"/>
          <w:highlight w:val="none"/>
          <w:lang w:val="zh-CN"/>
        </w:rPr>
        <w:t>能够满足本期扩建需求，本期需将</w:t>
      </w:r>
      <w:r>
        <w:rPr>
          <w:rFonts w:hint="default" w:ascii="Times New Roman" w:hAnsi="Times New Roman" w:cs="Times New Roman"/>
          <w:color w:val="auto"/>
          <w:sz w:val="24"/>
          <w:szCs w:val="24"/>
          <w:highlight w:val="none"/>
          <w:lang w:val="en-US" w:eastAsia="zh-CN"/>
        </w:rPr>
        <w:t>更改后的</w:t>
      </w:r>
      <w:r>
        <w:rPr>
          <w:rFonts w:hint="default" w:ascii="Times New Roman" w:hAnsi="Times New Roman" w:cs="Times New Roman"/>
          <w:color w:val="auto"/>
          <w:sz w:val="24"/>
          <w:szCs w:val="24"/>
          <w:highlight w:val="none"/>
          <w:lang w:val="zh-CN"/>
        </w:rPr>
        <w:t>远动信息接入现有远动设备，利用现有远动通道将信息传送至调度端</w:t>
      </w:r>
      <w:r>
        <w:rPr>
          <w:rFonts w:hint="default" w:ascii="Times New Roman" w:hAnsi="Times New Roman" w:cs="Times New Roman"/>
          <w:color w:val="auto"/>
          <w:sz w:val="24"/>
          <w:szCs w:val="24"/>
          <w:highlight w:val="none"/>
        </w:rPr>
        <w:t>。</w:t>
      </w:r>
    </w:p>
    <w:p>
      <w:pPr>
        <w:pStyle w:val="26"/>
        <w:keepNext w:val="0"/>
        <w:keepLines w:val="0"/>
        <w:pageBreakBefore w:val="0"/>
        <w:numPr>
          <w:ilvl w:val="0"/>
          <w:numId w:val="0"/>
        </w:numPr>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rPr>
        <w:t>远动信息采集内容</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根据《电力系统调度自动化设计技术规程》DL/T5003-2005和调控一体化对远动信息的要求，结合本期工程建设规模，</w:t>
      </w:r>
      <w:r>
        <w:rPr>
          <w:rFonts w:hint="default" w:ascii="Times New Roman" w:hAnsi="Times New Roman" w:cs="Times New Roman"/>
          <w:color w:val="auto"/>
          <w:sz w:val="24"/>
          <w:szCs w:val="24"/>
          <w:highlight w:val="none"/>
          <w:lang w:eastAsia="zh-CN"/>
        </w:rPr>
        <w:t>需将以下</w:t>
      </w:r>
      <w:r>
        <w:rPr>
          <w:rFonts w:hint="default" w:ascii="Times New Roman" w:hAnsi="Times New Roman" w:cs="Times New Roman"/>
          <w:color w:val="auto"/>
          <w:sz w:val="24"/>
          <w:szCs w:val="24"/>
          <w:highlight w:val="none"/>
        </w:rPr>
        <w:t>远动信息</w:t>
      </w:r>
      <w:r>
        <w:rPr>
          <w:rFonts w:hint="default" w:ascii="Times New Roman" w:hAnsi="Times New Roman" w:cs="Times New Roman"/>
          <w:color w:val="auto"/>
          <w:sz w:val="24"/>
          <w:szCs w:val="24"/>
          <w:highlight w:val="none"/>
          <w:lang w:eastAsia="zh-CN"/>
        </w:rPr>
        <w:t>上传至调度端</w:t>
      </w:r>
      <w:r>
        <w:rPr>
          <w:rFonts w:hint="default" w:ascii="Times New Roman" w:hAnsi="Times New Roman" w:cs="Times New Roman"/>
          <w:color w:val="auto"/>
          <w:sz w:val="24"/>
          <w:szCs w:val="24"/>
          <w:highlight w:val="none"/>
        </w:rPr>
        <w:t>：</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主变压器高、低压侧的有功功率、无功功率、电流、功率因数遥测；</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主变油温遥测；</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主变分接头档位遥测；</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10kV电容器的无功功率、电流遥测；</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主变压器高压侧所有隔离刀闸（含接地刀闸）位置信号遥信；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主变压器保护动作信号遥信；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主变压器高、低压侧变电设备及二次回路异常遥信；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主变抽头、中性点接地刀闸位置信号遥信；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主变压器油温过高信号遥信；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主变压器轻瓦斯动作信号遥信；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10kV电容器组保护动作信号遥信；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主变器高、低压侧断路器遥控信号；</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无功电容器组投切遥控信号；</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变压器分接头调整信号</w:t>
      </w:r>
      <w:r>
        <w:rPr>
          <w:rFonts w:hint="default" w:ascii="Times New Roman" w:hAnsi="Times New Roman" w:cs="Times New Roman"/>
          <w:color w:val="auto"/>
          <w:sz w:val="24"/>
          <w:szCs w:val="24"/>
          <w:highlight w:val="none"/>
          <w:lang w:val="zh-CN"/>
        </w:rPr>
        <w:t>。</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4.2.3 电量计量系统</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4.2.3.1 电采装置</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青山变现</w:t>
      </w:r>
      <w:r>
        <w:rPr>
          <w:rFonts w:hint="default" w:ascii="Times New Roman" w:hAnsi="Times New Roman" w:cs="Times New Roman"/>
          <w:color w:val="auto"/>
          <w:sz w:val="24"/>
          <w:szCs w:val="24"/>
          <w:highlight w:val="none"/>
        </w:rPr>
        <w:t>有1套电能量数据采集终端，设备能够满足本期扩建需求。</w:t>
      </w:r>
    </w:p>
    <w:p>
      <w:pPr>
        <w:keepNext w:val="0"/>
        <w:keepLines w:val="0"/>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4.2.3.2 非关口计量系统</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本期改造更换的10kV出线柜、10kV进线柜和10kV站用变所需电能表利旧。</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本期新增的10kV电容器柜增加1块0.5S三相三线制电能表，就地安装在开关柜。</w:t>
      </w:r>
    </w:p>
    <w:p>
      <w:pPr>
        <w:pStyle w:val="26"/>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4.2.4 调度数据专网</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rPr>
        <w:t>青山变现有</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zh-CN"/>
        </w:rPr>
        <w:t>套调度数据专网设备，</w:t>
      </w:r>
      <w:r>
        <w:rPr>
          <w:rFonts w:hint="default" w:ascii="Times New Roman" w:hAnsi="Times New Roman" w:cs="Times New Roman"/>
          <w:color w:val="auto"/>
          <w:sz w:val="24"/>
          <w:szCs w:val="24"/>
          <w:highlight w:val="none"/>
          <w:lang w:val="en-US" w:eastAsia="zh-CN"/>
        </w:rPr>
        <w:t>每套均含1台路由器和2台交换机，设备容量</w:t>
      </w:r>
      <w:r>
        <w:rPr>
          <w:rFonts w:hint="default" w:ascii="Times New Roman" w:hAnsi="Times New Roman" w:cs="Times New Roman"/>
          <w:color w:val="auto"/>
          <w:sz w:val="24"/>
          <w:szCs w:val="24"/>
          <w:highlight w:val="none"/>
          <w:lang w:val="zh-CN"/>
        </w:rPr>
        <w:t>能够满足本期接入需求。</w:t>
      </w:r>
    </w:p>
    <w:p>
      <w:pPr>
        <w:pStyle w:val="26"/>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4.2.5 二次系统安全防护 </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青山变现有1套二次系统安全防护设备，</w:t>
      </w:r>
      <w:r>
        <w:rPr>
          <w:rFonts w:hint="default" w:ascii="Times New Roman" w:hAnsi="Times New Roman" w:cs="Times New Roman"/>
          <w:color w:val="auto"/>
          <w:sz w:val="24"/>
          <w:szCs w:val="24"/>
          <w:highlight w:val="none"/>
          <w:lang w:val="en-US" w:eastAsia="zh-CN"/>
        </w:rPr>
        <w:t>含4台纵向加密认证装置，设备容量</w:t>
      </w:r>
      <w:r>
        <w:rPr>
          <w:rFonts w:hint="default" w:ascii="Times New Roman" w:hAnsi="Times New Roman" w:cs="Times New Roman"/>
          <w:color w:val="auto"/>
          <w:sz w:val="24"/>
          <w:szCs w:val="24"/>
          <w:highlight w:val="none"/>
          <w:lang w:val="zh-CN"/>
        </w:rPr>
        <w:t>能够满足本期接入需求。</w:t>
      </w:r>
    </w:p>
    <w:p>
      <w:pPr>
        <w:pStyle w:val="26"/>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4.2.6 网络监测装置</w:t>
      </w:r>
    </w:p>
    <w:p>
      <w:pPr>
        <w:keepNext w:val="0"/>
        <w:keepLines w:val="0"/>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青山变</w:t>
      </w:r>
      <w:r>
        <w:rPr>
          <w:rFonts w:hint="default" w:ascii="Times New Roman" w:hAnsi="Times New Roman" w:cs="Times New Roman"/>
          <w:color w:val="auto"/>
          <w:sz w:val="24"/>
          <w:szCs w:val="24"/>
          <w:highlight w:val="none"/>
          <w:lang w:val="en-US" w:eastAsia="zh-CN"/>
        </w:rPr>
        <w:t>现有2台</w:t>
      </w:r>
      <w:r>
        <w:rPr>
          <w:rFonts w:hint="default" w:ascii="Times New Roman" w:hAnsi="Times New Roman" w:cs="Times New Roman"/>
          <w:color w:val="auto"/>
          <w:sz w:val="24"/>
          <w:szCs w:val="24"/>
          <w:highlight w:val="none"/>
          <w:lang w:val="zh-CN"/>
        </w:rPr>
        <w:t>网络安全监测装置，</w:t>
      </w:r>
      <w:r>
        <w:rPr>
          <w:rFonts w:hint="default" w:ascii="Times New Roman" w:hAnsi="Times New Roman" w:cs="Times New Roman"/>
          <w:color w:val="auto"/>
          <w:sz w:val="24"/>
          <w:szCs w:val="24"/>
          <w:highlight w:val="none"/>
          <w:lang w:val="en-US" w:eastAsia="zh-CN"/>
        </w:rPr>
        <w:t>设备容量</w:t>
      </w:r>
      <w:r>
        <w:rPr>
          <w:rFonts w:hint="default" w:ascii="Times New Roman" w:hAnsi="Times New Roman" w:cs="Times New Roman"/>
          <w:color w:val="auto"/>
          <w:sz w:val="24"/>
          <w:szCs w:val="24"/>
          <w:highlight w:val="none"/>
          <w:lang w:val="zh-CN"/>
        </w:rPr>
        <w:t>能够满足本期接入需求。</w:t>
      </w:r>
    </w:p>
    <w:p>
      <w:pPr>
        <w:pageBreakBefore w:val="0"/>
        <w:widowControl/>
        <w:tabs>
          <w:tab w:val="left" w:pos="360"/>
          <w:tab w:val="left" w:pos="540"/>
          <w:tab w:val="left" w:pos="567"/>
          <w:tab w:val="left" w:pos="897"/>
        </w:tabs>
        <w:kinsoku/>
        <w:wordWrap/>
        <w:overflowPunct/>
        <w:topLinePunct w:val="0"/>
        <w:bidi w:val="0"/>
        <w:adjustRightInd w:val="0"/>
        <w:spacing w:line="460" w:lineRule="exact"/>
        <w:outlineLvl w:val="1"/>
        <w:rPr>
          <w:rFonts w:hint="default" w:ascii="Times New Roman" w:hAnsi="Times New Roman" w:cs="Times New Roman"/>
          <w:color w:val="auto"/>
          <w:kern w:val="21"/>
          <w:sz w:val="24"/>
          <w:szCs w:val="24"/>
          <w:highlight w:val="none"/>
        </w:rPr>
      </w:pPr>
      <w:bookmarkStart w:id="244" w:name="_Toc803"/>
      <w:r>
        <w:rPr>
          <w:rFonts w:hint="default" w:ascii="Times New Roman" w:hAnsi="Times New Roman" w:cs="Times New Roman"/>
          <w:color w:val="auto"/>
          <w:kern w:val="21"/>
          <w:sz w:val="24"/>
          <w:szCs w:val="24"/>
          <w:highlight w:val="none"/>
        </w:rPr>
        <w:t>4.3  系统通信</w:t>
      </w:r>
      <w:bookmarkEnd w:id="244"/>
    </w:p>
    <w:p>
      <w:pPr>
        <w:keepNext w:val="0"/>
        <w:keepLines w:val="0"/>
        <w:pageBreakBefore w:val="0"/>
        <w:kinsoku/>
        <w:wordWrap/>
        <w:overflowPunct/>
        <w:topLinePunct w:val="0"/>
        <w:autoSpaceDE/>
        <w:autoSpaceDN/>
        <w:bidi w:val="0"/>
        <w:adjustRightInd w:val="0"/>
        <w:snapToGrid/>
        <w:spacing w:line="460" w:lineRule="exact"/>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 工程建设综述</w:t>
      </w:r>
    </w:p>
    <w:p>
      <w:pPr>
        <w:keepNext w:val="0"/>
        <w:keepLines w:val="0"/>
        <w:pageBreakBefore w:val="0"/>
        <w:kinsoku/>
        <w:wordWrap/>
        <w:overflowPunct/>
        <w:topLinePunct w:val="0"/>
        <w:autoSpaceDE/>
        <w:autoSpaceDN/>
        <w:bidi w:val="0"/>
        <w:adjustRightInd w:val="0"/>
        <w:snapToGrid/>
        <w:spacing w:line="460" w:lineRule="exact"/>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4.3.1.1 相关光缆现况及发展</w:t>
      </w:r>
    </w:p>
    <w:p>
      <w:pPr>
        <w:keepNext w:val="0"/>
        <w:keepLines w:val="0"/>
        <w:pageBreakBefore w:val="0"/>
        <w:kinsoku/>
        <w:wordWrap/>
        <w:overflowPunct/>
        <w:topLinePunct w:val="0"/>
        <w:autoSpaceDE/>
        <w:autoSpaceDN/>
        <w:bidi w:val="0"/>
        <w:adjustRightInd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青山变</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熙彩变</w:t>
      </w:r>
      <w:r>
        <w:rPr>
          <w:rFonts w:hint="default" w:ascii="Times New Roman" w:hAnsi="Times New Roman" w:cs="Times New Roman"/>
          <w:color w:val="auto"/>
          <w:sz w:val="24"/>
          <w:szCs w:val="24"/>
          <w:highlight w:val="none"/>
        </w:rPr>
        <w:t>现有1根</w:t>
      </w:r>
      <w:r>
        <w:rPr>
          <w:rFonts w:hint="default" w:ascii="Times New Roman" w:hAnsi="Times New Roman" w:cs="Times New Roman"/>
          <w:color w:val="auto"/>
          <w:sz w:val="24"/>
          <w:szCs w:val="24"/>
          <w:highlight w:val="none"/>
          <w:lang w:val="en-US" w:eastAsia="zh-CN"/>
        </w:rPr>
        <w:t>48</w:t>
      </w:r>
      <w:r>
        <w:rPr>
          <w:rFonts w:hint="default" w:ascii="Times New Roman" w:hAnsi="Times New Roman" w:cs="Times New Roman"/>
          <w:color w:val="auto"/>
          <w:sz w:val="24"/>
          <w:szCs w:val="24"/>
          <w:highlight w:val="none"/>
        </w:rPr>
        <w:t>芯</w:t>
      </w:r>
      <w:r>
        <w:rPr>
          <w:rFonts w:hint="default" w:ascii="Times New Roman" w:hAnsi="Times New Roman" w:cs="Times New Roman"/>
          <w:color w:val="auto"/>
          <w:sz w:val="24"/>
          <w:szCs w:val="24"/>
          <w:highlight w:val="none"/>
          <w:lang w:val="en-US" w:eastAsia="zh-CN"/>
        </w:rPr>
        <w:t>OPGW+</w:t>
      </w:r>
      <w:r>
        <w:rPr>
          <w:rFonts w:hint="default" w:ascii="Times New Roman" w:hAnsi="Times New Roman" w:cs="Times New Roman"/>
          <w:color w:val="auto"/>
          <w:sz w:val="24"/>
          <w:szCs w:val="24"/>
          <w:highlight w:val="none"/>
        </w:rPr>
        <w:t>ADSS光缆。</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相关站点光缆现状图如下所示：</w:t>
      </w:r>
    </w:p>
    <w:p>
      <w:pPr>
        <w:pStyle w:val="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drawing>
          <wp:anchor distT="0" distB="0" distL="114300" distR="114300" simplePos="0" relativeHeight="251664384" behindDoc="0" locked="0" layoutInCell="1" allowOverlap="1">
            <wp:simplePos x="0" y="0"/>
            <wp:positionH relativeFrom="column">
              <wp:posOffset>864235</wp:posOffset>
            </wp:positionH>
            <wp:positionV relativeFrom="paragraph">
              <wp:posOffset>248285</wp:posOffset>
            </wp:positionV>
            <wp:extent cx="3974465" cy="3707130"/>
            <wp:effectExtent l="0" t="0" r="6985" b="7620"/>
            <wp:wrapSquare wrapText="bothSides"/>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1"/>
                    <a:stretch>
                      <a:fillRect/>
                    </a:stretch>
                  </pic:blipFill>
                  <pic:spPr>
                    <a:xfrm>
                      <a:off x="0" y="0"/>
                      <a:ext cx="3974465" cy="3707130"/>
                    </a:xfrm>
                    <a:prstGeom prst="rect">
                      <a:avLst/>
                    </a:prstGeom>
                    <a:noFill/>
                    <a:ln>
                      <a:noFill/>
                    </a:ln>
                  </pic:spPr>
                </pic:pic>
              </a:graphicData>
            </a:graphic>
          </wp:anchor>
        </w:drawing>
      </w: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bookmarkStart w:id="245" w:name="_Toc13177"/>
      <w:bookmarkStart w:id="246" w:name="_Toc5913"/>
      <w:bookmarkStart w:id="247" w:name="_Toc8027"/>
      <w:bookmarkStart w:id="248" w:name="_Toc26004"/>
      <w:bookmarkStart w:id="249" w:name="_Toc17682"/>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p>
    <w:p>
      <w:pPr>
        <w:pStyle w:val="48"/>
        <w:keepNext w:val="0"/>
        <w:keepLines w:val="0"/>
        <w:pageBreakBefore w:val="0"/>
        <w:widowControl w:val="0"/>
        <w:kinsoku/>
        <w:wordWrap/>
        <w:overflowPunct/>
        <w:topLinePunct w:val="0"/>
        <w:autoSpaceDE/>
        <w:autoSpaceDN/>
        <w:bidi w:val="0"/>
        <w:spacing w:line="460" w:lineRule="exact"/>
        <w:outlineLvl w:val="9"/>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图4-1  SDH通信通道组织现状图</w:t>
      </w:r>
      <w:bookmarkEnd w:id="245"/>
      <w:bookmarkEnd w:id="246"/>
      <w:bookmarkEnd w:id="247"/>
      <w:bookmarkEnd w:id="248"/>
      <w:bookmarkEnd w:id="249"/>
    </w:p>
    <w:p>
      <w:pPr>
        <w:keepNext w:val="0"/>
        <w:keepLines w:val="0"/>
        <w:pageBreakBefore w:val="0"/>
        <w:widowControl w:val="0"/>
        <w:kinsoku/>
        <w:wordWrap/>
        <w:overflowPunct/>
        <w:topLinePunct w:val="0"/>
        <w:autoSpaceDE/>
        <w:autoSpaceDN/>
        <w:bidi w:val="0"/>
        <w:snapToGrid/>
        <w:spacing w:line="460" w:lineRule="exact"/>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4.3.1</w:t>
      </w:r>
      <w:r>
        <w:rPr>
          <w:rFonts w:hint="default" w:ascii="Times New Roman" w:hAnsi="Times New Roman" w:cs="Times New Roman"/>
          <w:color w:val="auto"/>
          <w:kern w:val="21"/>
          <w:sz w:val="24"/>
          <w:szCs w:val="24"/>
          <w:highlight w:val="none"/>
        </w:rPr>
        <w:t>.2 相关传输网现况及发展</w:t>
      </w:r>
    </w:p>
    <w:p>
      <w:pPr>
        <w:keepNext w:val="0"/>
        <w:keepLines w:val="0"/>
        <w:pageBreakBefore w:val="0"/>
        <w:widowControl w:val="0"/>
        <w:kinsoku/>
        <w:wordWrap/>
        <w:overflowPunct/>
        <w:topLinePunct w:val="0"/>
        <w:autoSpaceDE/>
        <w:autoSpaceDN/>
        <w:bidi w:val="0"/>
        <w:snapToGrid/>
        <w:spacing w:line="460" w:lineRule="exact"/>
        <w:ind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（1）SDH传输网</w:t>
      </w:r>
    </w:p>
    <w:p>
      <w:pPr>
        <w:keepNext w:val="0"/>
        <w:keepLines w:val="0"/>
        <w:pageBreakBefore w:val="0"/>
        <w:widowControl w:val="0"/>
        <w:kinsoku/>
        <w:wordWrap/>
        <w:overflowPunct/>
        <w:topLinePunct w:val="0"/>
        <w:autoSpaceDE/>
        <w:autoSpaceDN/>
        <w:bidi w:val="0"/>
        <w:adjustRightInd w:val="0"/>
        <w:snapToGrid/>
        <w:spacing w:line="460" w:lineRule="exact"/>
        <w:ind w:firstLineChars="200"/>
        <w:jc w:val="left"/>
        <w:textAlignment w:val="baseline"/>
        <w:rPr>
          <w:rFonts w:hint="default" w:ascii="Times New Roman" w:hAnsi="Times New Roman" w:eastAsia="宋体" w:cs="Times New Roman"/>
          <w:color w:val="auto"/>
          <w:kern w:val="2"/>
          <w:sz w:val="24"/>
          <w:szCs w:val="24"/>
          <w:highlight w:val="none"/>
          <w:lang w:val="zh-CN" w:eastAsia="zh-CN"/>
        </w:rPr>
      </w:pPr>
      <w:r>
        <w:rPr>
          <w:rFonts w:hint="default" w:ascii="Times New Roman" w:hAnsi="Times New Roman" w:eastAsia="宋体" w:cs="Times New Roman"/>
          <w:color w:val="auto"/>
          <w:kern w:val="2"/>
          <w:sz w:val="24"/>
          <w:szCs w:val="24"/>
          <w:highlight w:val="none"/>
          <w:lang w:val="zh-CN" w:eastAsia="zh-CN"/>
        </w:rPr>
        <w:t>安阳地区以地调及220kV变电站为节点建设有安阳地区骨干环网，传输速率为2.5Gbit/s。其它站点（110kV及以下变电站、县调、二级机构）两点接入2.5Gbit/s骨干环，建设155~622Mbit/s接入环。网内目前运行有泰乐及华为两个厂家的设备，泰乐设备逐渐退出运行。</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baseline"/>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详见</w:t>
      </w:r>
      <w:r>
        <w:rPr>
          <w:rFonts w:hint="default" w:ascii="Times New Roman" w:hAnsi="Times New Roman" w:eastAsia="宋体" w:cs="Times New Roman"/>
          <w:color w:val="auto"/>
          <w:kern w:val="21"/>
          <w:sz w:val="24"/>
          <w:szCs w:val="24"/>
          <w:highlight w:val="none"/>
          <w:lang w:val="en-US" w:eastAsia="zh-CN"/>
        </w:rPr>
        <w:t>QSZR</w:t>
      </w:r>
      <w:r>
        <w:rPr>
          <w:rFonts w:hint="default" w:ascii="Times New Roman" w:hAnsi="Times New Roman" w:eastAsia="宋体" w:cs="Times New Roman"/>
          <w:color w:val="auto"/>
          <w:kern w:val="21"/>
          <w:sz w:val="24"/>
          <w:szCs w:val="24"/>
          <w:highlight w:val="none"/>
        </w:rPr>
        <w:t>-</w:t>
      </w:r>
      <w:r>
        <w:rPr>
          <w:rFonts w:hint="default" w:ascii="Times New Roman" w:hAnsi="Times New Roman" w:eastAsia="宋体" w:cs="Times New Roman"/>
          <w:color w:val="auto"/>
          <w:kern w:val="21"/>
          <w:sz w:val="24"/>
          <w:szCs w:val="24"/>
          <w:highlight w:val="none"/>
          <w:lang w:val="en-US" w:eastAsia="zh-CN"/>
        </w:rPr>
        <w:t>TX</w:t>
      </w:r>
      <w:r>
        <w:rPr>
          <w:rFonts w:hint="default" w:ascii="Times New Roman" w:hAnsi="Times New Roman" w:eastAsia="宋体" w:cs="Times New Roman"/>
          <w:color w:val="auto"/>
          <w:kern w:val="21"/>
          <w:sz w:val="24"/>
          <w:szCs w:val="24"/>
          <w:highlight w:val="none"/>
        </w:rPr>
        <w:t>-02 安阳地区SDH传输网通道拓扑图（华为）</w:t>
      </w:r>
    </w:p>
    <w:p>
      <w:pPr>
        <w:keepNext w:val="0"/>
        <w:keepLines w:val="0"/>
        <w:pageBreakBefore w:val="0"/>
        <w:widowControl w:val="0"/>
        <w:kinsoku/>
        <w:wordWrap/>
        <w:overflowPunct/>
        <w:topLinePunct w:val="0"/>
        <w:autoSpaceDE/>
        <w:autoSpaceDN/>
        <w:bidi w:val="0"/>
        <w:adjustRightInd w:val="0"/>
        <w:snapToGrid/>
        <w:spacing w:line="460" w:lineRule="exact"/>
        <w:ind w:firstLineChars="200"/>
        <w:jc w:val="left"/>
        <w:textAlignment w:val="baseline"/>
        <w:rPr>
          <w:rFonts w:hint="default" w:ascii="Times New Roman" w:hAnsi="Times New Roman" w:cs="Times New Roman"/>
          <w:color w:val="auto"/>
          <w:kern w:val="21"/>
          <w:sz w:val="24"/>
          <w:szCs w:val="24"/>
          <w:highlight w:val="none"/>
          <w:lang w:val="zh-CN"/>
        </w:rPr>
      </w:pPr>
      <w:r>
        <w:rPr>
          <w:rFonts w:hint="default" w:ascii="Times New Roman" w:hAnsi="Times New Roman" w:cs="Times New Roman"/>
          <w:color w:val="auto"/>
          <w:kern w:val="21"/>
          <w:sz w:val="24"/>
          <w:szCs w:val="24"/>
          <w:highlight w:val="none"/>
        </w:rPr>
        <w:t>（</w:t>
      </w:r>
      <w:r>
        <w:rPr>
          <w:rFonts w:hint="default" w:ascii="Times New Roman" w:hAnsi="Times New Roman" w:cs="Times New Roman"/>
          <w:color w:val="auto"/>
          <w:kern w:val="21"/>
          <w:sz w:val="24"/>
          <w:szCs w:val="24"/>
          <w:highlight w:val="none"/>
          <w:lang w:val="en-US" w:eastAsia="zh-CN"/>
        </w:rPr>
        <w:t>2</w:t>
      </w:r>
      <w:r>
        <w:rPr>
          <w:rFonts w:hint="default" w:ascii="Times New Roman" w:hAnsi="Times New Roman" w:cs="Times New Roman"/>
          <w:color w:val="auto"/>
          <w:kern w:val="21"/>
          <w:sz w:val="24"/>
          <w:szCs w:val="24"/>
          <w:highlight w:val="none"/>
        </w:rPr>
        <w:t>）</w:t>
      </w:r>
      <w:r>
        <w:rPr>
          <w:rFonts w:hint="default" w:ascii="Times New Roman" w:hAnsi="Times New Roman" w:cs="Times New Roman"/>
          <w:color w:val="auto"/>
          <w:kern w:val="21"/>
          <w:sz w:val="24"/>
          <w:szCs w:val="24"/>
          <w:highlight w:val="none"/>
          <w:lang w:eastAsia="zh-CN"/>
        </w:rPr>
        <w:t>青山变</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青山变现有1套</w:t>
      </w:r>
      <w:r>
        <w:rPr>
          <w:rFonts w:hint="default" w:ascii="Times New Roman" w:hAnsi="Times New Roman" w:cs="Times New Roman"/>
          <w:color w:val="auto"/>
          <w:sz w:val="24"/>
          <w:szCs w:val="24"/>
          <w:highlight w:val="none"/>
          <w:lang w:val="en-US" w:eastAsia="zh-CN"/>
        </w:rPr>
        <w:t>华为</w:t>
      </w:r>
      <w:r>
        <w:rPr>
          <w:rFonts w:hint="default" w:ascii="Times New Roman" w:hAnsi="Times New Roman" w:cs="Times New Roman"/>
          <w:color w:val="auto"/>
          <w:sz w:val="24"/>
          <w:szCs w:val="24"/>
          <w:highlight w:val="none"/>
          <w:lang w:val="zh-CN"/>
        </w:rPr>
        <w:t>SDH设备，型号</w:t>
      </w:r>
      <w:r>
        <w:rPr>
          <w:rFonts w:hint="default" w:ascii="Times New Roman" w:hAnsi="Times New Roman" w:cs="Times New Roman"/>
          <w:color w:val="auto"/>
          <w:sz w:val="24"/>
          <w:szCs w:val="24"/>
          <w:highlight w:val="none"/>
          <w:lang w:val="en-US" w:eastAsia="zh-CN"/>
        </w:rPr>
        <w:t>OSN3500</w:t>
      </w:r>
      <w:r>
        <w:rPr>
          <w:rFonts w:hint="default" w:ascii="Times New Roman" w:hAnsi="Times New Roman" w:cs="Times New Roman"/>
          <w:color w:val="auto"/>
          <w:sz w:val="24"/>
          <w:szCs w:val="24"/>
          <w:highlight w:val="none"/>
          <w:lang w:val="zh-CN"/>
        </w:rPr>
        <w:t>，</w:t>
      </w:r>
      <w:r>
        <w:rPr>
          <w:rFonts w:hint="default" w:ascii="Times New Roman" w:hAnsi="Times New Roman" w:cs="Times New Roman"/>
          <w:color w:val="auto"/>
          <w:sz w:val="24"/>
          <w:szCs w:val="24"/>
          <w:highlight w:val="none"/>
          <w:lang w:val="en-US" w:eastAsia="zh-CN"/>
        </w:rPr>
        <w:t>2020</w:t>
      </w:r>
      <w:r>
        <w:rPr>
          <w:rFonts w:hint="default" w:ascii="Times New Roman" w:hAnsi="Times New Roman" w:cs="Times New Roman"/>
          <w:color w:val="auto"/>
          <w:sz w:val="24"/>
          <w:szCs w:val="24"/>
          <w:highlight w:val="none"/>
          <w:lang w:val="zh-CN"/>
        </w:rPr>
        <w:t>年投入运行，</w:t>
      </w:r>
      <w:r>
        <w:rPr>
          <w:rFonts w:hint="default" w:ascii="Times New Roman" w:hAnsi="Times New Roman" w:cs="Times New Roman"/>
          <w:color w:val="auto"/>
          <w:sz w:val="24"/>
          <w:szCs w:val="24"/>
          <w:highlight w:val="none"/>
          <w:lang w:val="en-US" w:eastAsia="zh-CN"/>
        </w:rPr>
        <w:t>设备容量满足本期接入需求</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青山变现有</w:t>
      </w:r>
      <w:r>
        <w:rPr>
          <w:rFonts w:hint="default" w:ascii="Times New Roman" w:hAnsi="Times New Roman" w:cs="Times New Roman"/>
          <w:color w:val="auto"/>
          <w:sz w:val="24"/>
          <w:szCs w:val="24"/>
          <w:highlight w:val="none"/>
        </w:rPr>
        <w:t>1套</w:t>
      </w:r>
      <w:r>
        <w:rPr>
          <w:rFonts w:hint="default" w:ascii="Times New Roman" w:hAnsi="Times New Roman" w:cs="Times New Roman"/>
          <w:color w:val="auto"/>
          <w:sz w:val="24"/>
          <w:szCs w:val="24"/>
          <w:highlight w:val="none"/>
          <w:lang w:val="en-US" w:eastAsia="zh-CN"/>
        </w:rPr>
        <w:t>华为</w:t>
      </w:r>
      <w:r>
        <w:rPr>
          <w:rFonts w:hint="default" w:ascii="Times New Roman" w:hAnsi="Times New Roman" w:cs="Times New Roman"/>
          <w:color w:val="auto"/>
          <w:sz w:val="24"/>
          <w:szCs w:val="24"/>
          <w:highlight w:val="none"/>
        </w:rPr>
        <w:t>PCM设备，型号</w:t>
      </w:r>
      <w:r>
        <w:rPr>
          <w:rFonts w:hint="default" w:ascii="Times New Roman" w:hAnsi="Times New Roman" w:cs="Times New Roman"/>
          <w:color w:val="auto"/>
          <w:sz w:val="24"/>
          <w:szCs w:val="24"/>
          <w:highlight w:val="none"/>
          <w:lang w:val="en-US" w:eastAsia="zh-CN"/>
        </w:rPr>
        <w:t>UA5</w:t>
      </w:r>
      <w:r>
        <w:rPr>
          <w:rFonts w:hint="default" w:ascii="Times New Roman" w:hAnsi="Times New Roman" w:cs="Times New Roman"/>
          <w:color w:val="auto"/>
          <w:sz w:val="24"/>
          <w:szCs w:val="24"/>
          <w:highlight w:val="none"/>
        </w:rPr>
        <w:t>000，</w:t>
      </w:r>
      <w:r>
        <w:rPr>
          <w:rFonts w:hint="default" w:ascii="Times New Roman" w:hAnsi="Times New Roman" w:cs="Times New Roman"/>
          <w:color w:val="auto"/>
          <w:sz w:val="24"/>
          <w:szCs w:val="24"/>
          <w:highlight w:val="none"/>
          <w:lang w:val="en-US" w:eastAsia="zh-CN"/>
        </w:rPr>
        <w:t>2020</w:t>
      </w:r>
      <w:r>
        <w:rPr>
          <w:rFonts w:hint="default" w:ascii="Times New Roman" w:hAnsi="Times New Roman" w:cs="Times New Roman"/>
          <w:color w:val="auto"/>
          <w:sz w:val="24"/>
          <w:szCs w:val="24"/>
          <w:highlight w:val="none"/>
        </w:rPr>
        <w:t>年投入运行</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设备容量满足本期接入需求</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4.3</w:t>
      </w:r>
      <w:r>
        <w:rPr>
          <w:rFonts w:hint="default" w:ascii="Times New Roman" w:hAnsi="Times New Roman" w:cs="Times New Roman"/>
          <w:color w:val="auto"/>
          <w:sz w:val="24"/>
          <w:szCs w:val="24"/>
          <w:highlight w:val="none"/>
          <w:lang w:val="zh-CN"/>
        </w:rPr>
        <w:t>.</w:t>
      </w: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zh-CN"/>
        </w:rPr>
        <w:t xml:space="preserve"> 系统通信方案</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青山变</w:t>
      </w:r>
      <w:r>
        <w:rPr>
          <w:rFonts w:hint="default" w:ascii="Times New Roman" w:hAnsi="Times New Roman" w:cs="Times New Roman"/>
          <w:color w:val="auto"/>
          <w:sz w:val="24"/>
          <w:szCs w:val="24"/>
          <w:highlight w:val="none"/>
          <w:lang w:val="zh-CN"/>
        </w:rPr>
        <w:t>－</w:t>
      </w:r>
      <w:r>
        <w:rPr>
          <w:rFonts w:hint="default" w:ascii="Times New Roman" w:hAnsi="Times New Roman" w:cs="Times New Roman"/>
          <w:color w:val="auto"/>
          <w:sz w:val="24"/>
          <w:szCs w:val="24"/>
          <w:highlight w:val="none"/>
          <w:lang w:val="en-US" w:eastAsia="zh-CN"/>
        </w:rPr>
        <w:t>熙彩变现有双622M光通信电路，满足本期接入需求，本期维持现有通信通道不变。</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SDH通信通道组织现状图如下所示：</w:t>
      </w:r>
    </w:p>
    <w:p>
      <w:pPr>
        <w:keepNext w:val="0"/>
        <w:keepLines w:val="0"/>
        <w:pageBreakBefore w:val="0"/>
        <w:widowControl w:val="0"/>
        <w:kinsoku/>
        <w:wordWrap/>
        <w:overflowPunct/>
        <w:topLinePunct w:val="0"/>
        <w:autoSpaceDE/>
        <w:autoSpaceDN/>
        <w:adjustRightInd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drawing>
          <wp:anchor distT="0" distB="0" distL="114300" distR="114300" simplePos="0" relativeHeight="251661312" behindDoc="0" locked="0" layoutInCell="1" allowOverlap="1">
            <wp:simplePos x="0" y="0"/>
            <wp:positionH relativeFrom="column">
              <wp:posOffset>162560</wp:posOffset>
            </wp:positionH>
            <wp:positionV relativeFrom="paragraph">
              <wp:posOffset>346710</wp:posOffset>
            </wp:positionV>
            <wp:extent cx="5842000" cy="2329815"/>
            <wp:effectExtent l="0" t="0" r="6350" b="13335"/>
            <wp:wrapTopAndBottom/>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22"/>
                    <a:stretch>
                      <a:fillRect/>
                    </a:stretch>
                  </pic:blipFill>
                  <pic:spPr>
                    <a:xfrm>
                      <a:off x="0" y="0"/>
                      <a:ext cx="5842000" cy="2329815"/>
                    </a:xfrm>
                    <a:prstGeom prst="rect">
                      <a:avLst/>
                    </a:prstGeom>
                    <a:noFill/>
                    <a:ln>
                      <a:noFill/>
                    </a:ln>
                  </pic:spPr>
                </pic:pic>
              </a:graphicData>
            </a:graphic>
          </wp:anchor>
        </w:drawing>
      </w:r>
    </w:p>
    <w:p>
      <w:pPr>
        <w:pStyle w:val="48"/>
        <w:outlineLvl w:val="9"/>
        <w:rPr>
          <w:rFonts w:hint="default" w:ascii="Times New Roman" w:hAnsi="Times New Roman" w:cs="Times New Roman"/>
          <w:color w:val="auto"/>
          <w:sz w:val="24"/>
          <w:szCs w:val="24"/>
          <w:highlight w:val="none"/>
          <w:lang w:val="en-US" w:eastAsia="zh-CN"/>
        </w:rPr>
      </w:pPr>
      <w:bookmarkStart w:id="250" w:name="_Toc17411"/>
      <w:bookmarkStart w:id="251" w:name="_Toc25195"/>
      <w:bookmarkStart w:id="252" w:name="_Toc30107"/>
      <w:bookmarkStart w:id="253" w:name="_Toc29374"/>
      <w:r>
        <w:rPr>
          <w:rFonts w:hint="default" w:ascii="Times New Roman" w:hAnsi="Times New Roman" w:eastAsia="宋体" w:cs="Times New Roman"/>
          <w:snapToGrid/>
          <w:color w:val="auto"/>
          <w:kern w:val="2"/>
          <w:sz w:val="24"/>
          <w:szCs w:val="24"/>
          <w:highlight w:val="none"/>
          <w:lang w:val="en-US" w:eastAsia="zh-CN"/>
        </w:rPr>
        <w:t>图4-2 SDH通信通道组织现状图</w:t>
      </w:r>
      <w:bookmarkEnd w:id="250"/>
      <w:bookmarkEnd w:id="251"/>
      <w:bookmarkEnd w:id="252"/>
      <w:bookmarkEnd w:id="253"/>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54" w:name="_Toc24722"/>
      <w:r>
        <w:rPr>
          <w:rFonts w:hint="default" w:ascii="Times New Roman" w:hAnsi="Times New Roman" w:cs="Times New Roman"/>
          <w:color w:val="auto"/>
          <w:kern w:val="21"/>
          <w:sz w:val="24"/>
          <w:szCs w:val="24"/>
          <w:highlight w:val="none"/>
        </w:rPr>
        <w:t>4.4  变电站自动化系统</w:t>
      </w:r>
      <w:bookmarkEnd w:id="254"/>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4.4.1  管理模式</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eastAsia="zh-CN"/>
        </w:rPr>
        <w:t>本变电站</w:t>
      </w:r>
      <w:r>
        <w:rPr>
          <w:rFonts w:hint="default" w:ascii="Times New Roman" w:hAnsi="Times New Roman" w:cs="Times New Roman"/>
          <w:snapToGrid w:val="0"/>
          <w:color w:val="auto"/>
          <w:kern w:val="21"/>
          <w:sz w:val="24"/>
          <w:szCs w:val="24"/>
          <w:highlight w:val="none"/>
          <w:lang w:val="en-US" w:eastAsia="zh-CN"/>
        </w:rPr>
        <w:t>2010年投入运行，采用</w:t>
      </w:r>
      <w:r>
        <w:rPr>
          <w:rFonts w:hint="default" w:ascii="Times New Roman" w:hAnsi="Times New Roman" w:cs="Times New Roman"/>
          <w:snapToGrid w:val="0"/>
          <w:color w:val="auto"/>
          <w:kern w:val="21"/>
          <w:sz w:val="24"/>
          <w:szCs w:val="24"/>
          <w:highlight w:val="none"/>
          <w:lang w:val="zh-CN" w:eastAsia="zh-CN"/>
        </w:rPr>
        <w:t>国电南瑞科技</w:t>
      </w:r>
      <w:r>
        <w:rPr>
          <w:rFonts w:hint="default" w:ascii="Times New Roman" w:hAnsi="Times New Roman" w:cs="Times New Roman"/>
          <w:snapToGrid w:val="0"/>
          <w:color w:val="auto"/>
          <w:kern w:val="21"/>
          <w:sz w:val="24"/>
          <w:szCs w:val="24"/>
          <w:highlight w:val="none"/>
          <w:lang w:val="en-US" w:eastAsia="zh-CN"/>
        </w:rPr>
        <w:t>的综合自动化系统</w:t>
      </w:r>
      <w:r>
        <w:rPr>
          <w:rFonts w:hint="default" w:ascii="Times New Roman" w:hAnsi="Times New Roman" w:cs="Times New Roman"/>
          <w:snapToGrid w:val="0"/>
          <w:color w:val="auto"/>
          <w:kern w:val="21"/>
          <w:sz w:val="24"/>
          <w:szCs w:val="24"/>
          <w:highlight w:val="none"/>
          <w:lang w:val="zh-CN" w:eastAsia="zh-CN"/>
        </w:rPr>
        <w:t>，分层分布式方案，实现变电站可靠、合理、完善的监视、测量和控制，并具备遥控、遥调、遥信、遥测功能。</w:t>
      </w:r>
      <w:r>
        <w:rPr>
          <w:rFonts w:hint="default" w:ascii="Times New Roman" w:hAnsi="Times New Roman" w:cs="Times New Roman"/>
          <w:snapToGrid w:val="0"/>
          <w:color w:val="auto"/>
          <w:kern w:val="21"/>
          <w:sz w:val="24"/>
          <w:szCs w:val="24"/>
          <w:highlight w:val="none"/>
          <w:lang w:val="en-US" w:eastAsia="zh-CN"/>
        </w:rPr>
        <w:t>本期扩建采用原有的计算机监控系统，相应系统软件修改。</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4.4.2  监测、监控范围</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该站自动化系统的监控范围按照DL/T 5103-2012《35kV～220kV无人值班变电站设计技术规程》执行。本期变电站自动化系统监控、监测范围主要包括：</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（1）监控对象</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110kV断路器、隔离刀、接地刀；10kV断路器、10kV手车位置；主变压器有载分接开关。</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（2）监测的开关量</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110kV断路器、隔离刀、接地刀位置信号；10kV断路器、10kV手车位置；主变压器分接头位置信号；主变压器瓦斯、油温、油位、压力释放等信号；保护及自动装置动作、报警信号。</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（3）监测的模拟量</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110kV线路电流、有功功率、无功功率、功率因数；主变110kV、10kV侧电流、有功功率、无功功率、功率因数；10kV出线电流；10kV电容器电流、无功功率；10kV</w:t>
      </w:r>
      <w:r>
        <w:rPr>
          <w:rFonts w:hint="default" w:ascii="Times New Roman" w:hAnsi="Times New Roman" w:cs="Times New Roman"/>
          <w:snapToGrid w:val="0"/>
          <w:color w:val="auto"/>
          <w:kern w:val="21"/>
          <w:sz w:val="24"/>
          <w:szCs w:val="24"/>
          <w:highlight w:val="none"/>
          <w:lang w:val="en-US" w:eastAsia="zh-CN"/>
        </w:rPr>
        <w:t>接地</w:t>
      </w:r>
      <w:r>
        <w:rPr>
          <w:rFonts w:hint="default" w:ascii="Times New Roman" w:hAnsi="Times New Roman" w:cs="Times New Roman"/>
          <w:snapToGrid w:val="0"/>
          <w:color w:val="auto"/>
          <w:kern w:val="21"/>
          <w:sz w:val="24"/>
          <w:szCs w:val="24"/>
          <w:highlight w:val="none"/>
          <w:lang w:eastAsia="zh-CN"/>
        </w:rPr>
        <w:t>变</w:t>
      </w:r>
      <w:r>
        <w:rPr>
          <w:rFonts w:hint="default" w:ascii="Times New Roman" w:hAnsi="Times New Roman" w:cs="Times New Roman"/>
          <w:snapToGrid w:val="0"/>
          <w:color w:val="auto"/>
          <w:kern w:val="21"/>
          <w:sz w:val="24"/>
          <w:szCs w:val="24"/>
          <w:highlight w:val="none"/>
        </w:rPr>
        <w:t>电流；110kV、10kV、380V母线电压；交直流一体化电源系统的重要馈线开关状态及其报警信号。</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（4）监测的电能量</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110kV线路、主变110kV、10kV侧有功、无功电能量；10kV出线有功、无功电能量；10kV电容器无功电能量；10kV</w:t>
      </w:r>
      <w:r>
        <w:rPr>
          <w:rFonts w:hint="default" w:ascii="Times New Roman" w:hAnsi="Times New Roman" w:cs="Times New Roman"/>
          <w:snapToGrid w:val="0"/>
          <w:color w:val="auto"/>
          <w:kern w:val="21"/>
          <w:sz w:val="24"/>
          <w:szCs w:val="24"/>
          <w:highlight w:val="none"/>
          <w:lang w:val="en-US" w:eastAsia="zh-CN"/>
        </w:rPr>
        <w:t>接地</w:t>
      </w:r>
      <w:r>
        <w:rPr>
          <w:rFonts w:hint="default" w:ascii="Times New Roman" w:hAnsi="Times New Roman" w:cs="Times New Roman"/>
          <w:snapToGrid w:val="0"/>
          <w:color w:val="auto"/>
          <w:kern w:val="21"/>
          <w:sz w:val="24"/>
          <w:szCs w:val="24"/>
          <w:highlight w:val="none"/>
          <w:lang w:eastAsia="zh-CN"/>
        </w:rPr>
        <w:t>变</w:t>
      </w:r>
      <w:r>
        <w:rPr>
          <w:rFonts w:hint="default" w:ascii="Times New Roman" w:hAnsi="Times New Roman" w:cs="Times New Roman"/>
          <w:snapToGrid w:val="0"/>
          <w:color w:val="auto"/>
          <w:kern w:val="21"/>
          <w:sz w:val="24"/>
          <w:szCs w:val="24"/>
          <w:highlight w:val="none"/>
        </w:rPr>
        <w:t>有功电能量。</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4.4.3  设备配置</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本期</w:t>
      </w:r>
      <w:r>
        <w:rPr>
          <w:rFonts w:hint="default" w:ascii="Times New Roman" w:hAnsi="Times New Roman" w:cs="Times New Roman"/>
          <w:snapToGrid w:val="0"/>
          <w:color w:val="auto"/>
          <w:kern w:val="21"/>
          <w:sz w:val="24"/>
          <w:szCs w:val="24"/>
          <w:highlight w:val="none"/>
          <w:lang w:eastAsia="zh-CN"/>
        </w:rPr>
        <w:t>主变增容，</w:t>
      </w:r>
      <w:r>
        <w:rPr>
          <w:rFonts w:hint="default" w:ascii="Times New Roman" w:hAnsi="Times New Roman" w:cs="Times New Roman"/>
          <w:snapToGrid w:val="0"/>
          <w:color w:val="auto"/>
          <w:kern w:val="21"/>
          <w:sz w:val="24"/>
          <w:szCs w:val="24"/>
          <w:highlight w:val="none"/>
        </w:rPr>
        <w:t>采用原有的计算机监控系统，相应系统软件修改。</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站控层</w:t>
      </w:r>
      <w:r>
        <w:rPr>
          <w:rFonts w:hint="default" w:ascii="Times New Roman" w:hAnsi="Times New Roman" w:cs="Times New Roman"/>
          <w:snapToGrid w:val="0"/>
          <w:color w:val="auto"/>
          <w:kern w:val="21"/>
          <w:sz w:val="24"/>
          <w:szCs w:val="24"/>
          <w:highlight w:val="none"/>
          <w:lang w:eastAsia="zh-CN"/>
        </w:rPr>
        <w:t>、间隔层</w:t>
      </w:r>
      <w:r>
        <w:rPr>
          <w:rFonts w:hint="default" w:ascii="Times New Roman" w:hAnsi="Times New Roman" w:cs="Times New Roman"/>
          <w:snapToGrid w:val="0"/>
          <w:color w:val="auto"/>
          <w:kern w:val="21"/>
          <w:sz w:val="24"/>
          <w:szCs w:val="24"/>
          <w:highlight w:val="none"/>
        </w:rPr>
        <w:t>设备已按最终规模设计，满足本期工程需求。</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55" w:name="_Toc19259"/>
      <w:bookmarkStart w:id="256" w:name="_Toc27266"/>
      <w:r>
        <w:rPr>
          <w:rFonts w:hint="default" w:ascii="Times New Roman" w:hAnsi="Times New Roman" w:cs="Times New Roman"/>
          <w:color w:val="auto"/>
          <w:kern w:val="21"/>
          <w:sz w:val="24"/>
          <w:szCs w:val="24"/>
          <w:highlight w:val="none"/>
        </w:rPr>
        <w:t>4.5  元件保护及自动装置</w:t>
      </w:r>
      <w:bookmarkEnd w:id="255"/>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保护配置按《继电保护和自动装置技术规程》（GB-14285-2006）及有关规定的要求，全部选用微机型保护。</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4.5.1  保护现状</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eastAsia="zh-CN"/>
        </w:rPr>
        <w:t>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zh-CN" w:eastAsia="zh-CN"/>
        </w:rPr>
        <w:t>主变压器保护配置：</w:t>
      </w:r>
      <w:r>
        <w:rPr>
          <w:rFonts w:hint="default" w:ascii="Times New Roman" w:hAnsi="Times New Roman" w:cs="Times New Roman"/>
          <w:snapToGrid w:val="0"/>
          <w:color w:val="auto"/>
          <w:kern w:val="21"/>
          <w:sz w:val="24"/>
          <w:szCs w:val="24"/>
          <w:highlight w:val="none"/>
          <w:lang w:val="en-US" w:eastAsia="zh-CN"/>
        </w:rPr>
        <w:t>采用</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NSR691RF-D00-E型</w:t>
      </w:r>
      <w:r>
        <w:rPr>
          <w:rFonts w:hint="default" w:ascii="Times New Roman" w:hAnsi="Times New Roman" w:cs="Times New Roman"/>
          <w:snapToGrid w:val="0"/>
          <w:color w:val="auto"/>
          <w:kern w:val="21"/>
          <w:sz w:val="24"/>
          <w:szCs w:val="24"/>
          <w:highlight w:val="none"/>
          <w:lang w:val="zh-CN" w:eastAsia="zh-CN"/>
        </w:rPr>
        <w:t>差动保护装置1套、</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NSR691RF-D00-E型</w:t>
      </w:r>
      <w:r>
        <w:rPr>
          <w:rFonts w:hint="default" w:ascii="Times New Roman" w:hAnsi="Times New Roman" w:cs="Times New Roman"/>
          <w:snapToGrid w:val="0"/>
          <w:color w:val="auto"/>
          <w:kern w:val="21"/>
          <w:sz w:val="24"/>
          <w:szCs w:val="24"/>
          <w:highlight w:val="none"/>
          <w:lang w:val="zh-CN" w:eastAsia="zh-CN"/>
        </w:rPr>
        <w:t>后备保护装置</w:t>
      </w:r>
      <w:r>
        <w:rPr>
          <w:rFonts w:hint="default" w:ascii="Times New Roman" w:hAnsi="Times New Roman" w:cs="Times New Roman"/>
          <w:snapToGrid w:val="0"/>
          <w:color w:val="auto"/>
          <w:kern w:val="21"/>
          <w:sz w:val="24"/>
          <w:szCs w:val="24"/>
          <w:highlight w:val="none"/>
          <w:lang w:eastAsia="zh-CN"/>
        </w:rPr>
        <w:t>2套</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zh-CN"/>
        </w:rPr>
        <w:t>南瑞科技N</w:t>
      </w:r>
      <w:r>
        <w:rPr>
          <w:rFonts w:hint="default" w:ascii="Times New Roman" w:hAnsi="Times New Roman" w:cs="Times New Roman"/>
          <w:snapToGrid w:val="0"/>
          <w:color w:val="auto"/>
          <w:kern w:val="21"/>
          <w:sz w:val="24"/>
          <w:szCs w:val="24"/>
          <w:highlight w:val="none"/>
          <w:lang w:eastAsia="zh-CN"/>
        </w:rPr>
        <w:t>SR699RF-D01型</w:t>
      </w:r>
      <w:r>
        <w:rPr>
          <w:rFonts w:hint="default" w:ascii="Times New Roman" w:hAnsi="Times New Roman" w:cs="Times New Roman"/>
          <w:snapToGrid w:val="0"/>
          <w:color w:val="auto"/>
          <w:kern w:val="21"/>
          <w:sz w:val="24"/>
          <w:szCs w:val="24"/>
          <w:highlight w:val="none"/>
          <w:lang w:val="zh-CN" w:eastAsia="zh-CN"/>
        </w:rPr>
        <w:t>主变操作及非电量保护装置</w:t>
      </w:r>
      <w:r>
        <w:rPr>
          <w:rFonts w:hint="default" w:ascii="Times New Roman" w:hAnsi="Times New Roman" w:cs="Times New Roman"/>
          <w:snapToGrid w:val="0"/>
          <w:color w:val="auto"/>
          <w:kern w:val="21"/>
          <w:sz w:val="24"/>
          <w:szCs w:val="24"/>
          <w:highlight w:val="none"/>
          <w:lang w:eastAsia="zh-CN"/>
        </w:rPr>
        <w:t>1套</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NSR685RF-D00-E型综合</w:t>
      </w:r>
      <w:r>
        <w:rPr>
          <w:rFonts w:hint="default" w:ascii="Times New Roman" w:hAnsi="Times New Roman" w:cs="Times New Roman"/>
          <w:snapToGrid w:val="0"/>
          <w:color w:val="auto"/>
          <w:kern w:val="21"/>
          <w:sz w:val="24"/>
          <w:szCs w:val="24"/>
          <w:highlight w:val="none"/>
          <w:lang w:val="zh-CN" w:eastAsia="zh-CN"/>
        </w:rPr>
        <w:t>测控装置</w:t>
      </w:r>
      <w:r>
        <w:rPr>
          <w:rFonts w:hint="default" w:ascii="Times New Roman" w:hAnsi="Times New Roman" w:cs="Times New Roman"/>
          <w:snapToGrid w:val="0"/>
          <w:color w:val="auto"/>
          <w:kern w:val="21"/>
          <w:sz w:val="24"/>
          <w:szCs w:val="24"/>
          <w:highlight w:val="none"/>
          <w:lang w:eastAsia="zh-CN"/>
        </w:rPr>
        <w:t>1套，2016年投入运行。设备运行良好，满足本期工程要求。</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eastAsia="zh-CN"/>
        </w:rPr>
      </w:pPr>
      <w:r>
        <w:rPr>
          <w:rFonts w:hint="default" w:ascii="Times New Roman" w:hAnsi="Times New Roman" w:cs="Times New Roman"/>
          <w:snapToGrid w:val="0"/>
          <w:color w:val="auto"/>
          <w:kern w:val="21"/>
          <w:sz w:val="24"/>
          <w:szCs w:val="24"/>
          <w:highlight w:val="none"/>
          <w:lang w:eastAsia="zh-CN"/>
        </w:rPr>
        <w:t>2</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zh-CN" w:eastAsia="zh-CN"/>
        </w:rPr>
        <w:t>主变压器保护配置：</w:t>
      </w:r>
      <w:r>
        <w:rPr>
          <w:rFonts w:hint="default" w:ascii="Times New Roman" w:hAnsi="Times New Roman" w:cs="Times New Roman"/>
          <w:snapToGrid w:val="0"/>
          <w:color w:val="auto"/>
          <w:kern w:val="21"/>
          <w:sz w:val="24"/>
          <w:szCs w:val="24"/>
          <w:highlight w:val="none"/>
          <w:lang w:val="en-US" w:eastAsia="zh-CN"/>
        </w:rPr>
        <w:t>采用</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DSA2323-3C型</w:t>
      </w:r>
      <w:r>
        <w:rPr>
          <w:rFonts w:hint="default" w:ascii="Times New Roman" w:hAnsi="Times New Roman" w:cs="Times New Roman"/>
          <w:snapToGrid w:val="0"/>
          <w:color w:val="auto"/>
          <w:kern w:val="21"/>
          <w:sz w:val="24"/>
          <w:szCs w:val="24"/>
          <w:highlight w:val="none"/>
          <w:lang w:val="zh-CN" w:eastAsia="zh-CN"/>
        </w:rPr>
        <w:t>差动保护装置1套、</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DSA2326-3C型高</w:t>
      </w:r>
      <w:r>
        <w:rPr>
          <w:rFonts w:hint="default" w:ascii="Times New Roman" w:hAnsi="Times New Roman" w:cs="Times New Roman"/>
          <w:snapToGrid w:val="0"/>
          <w:color w:val="auto"/>
          <w:kern w:val="21"/>
          <w:sz w:val="24"/>
          <w:szCs w:val="24"/>
          <w:highlight w:val="none"/>
          <w:lang w:val="zh-CN" w:eastAsia="zh-CN"/>
        </w:rPr>
        <w:t>后备保护装置</w:t>
      </w:r>
      <w:r>
        <w:rPr>
          <w:rFonts w:hint="default" w:ascii="Times New Roman" w:hAnsi="Times New Roman" w:cs="Times New Roman"/>
          <w:snapToGrid w:val="0"/>
          <w:color w:val="auto"/>
          <w:kern w:val="21"/>
          <w:sz w:val="24"/>
          <w:szCs w:val="24"/>
          <w:highlight w:val="none"/>
          <w:lang w:eastAsia="zh-CN"/>
        </w:rPr>
        <w:t>1套</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DSA2324-3C型高低</w:t>
      </w:r>
      <w:r>
        <w:rPr>
          <w:rFonts w:hint="default" w:ascii="Times New Roman" w:hAnsi="Times New Roman" w:cs="Times New Roman"/>
          <w:snapToGrid w:val="0"/>
          <w:color w:val="auto"/>
          <w:kern w:val="21"/>
          <w:sz w:val="24"/>
          <w:szCs w:val="24"/>
          <w:highlight w:val="none"/>
          <w:lang w:val="zh-CN" w:eastAsia="zh-CN"/>
        </w:rPr>
        <w:t>后备保护装置</w:t>
      </w:r>
      <w:r>
        <w:rPr>
          <w:rFonts w:hint="default" w:ascii="Times New Roman" w:hAnsi="Times New Roman" w:cs="Times New Roman"/>
          <w:snapToGrid w:val="0"/>
          <w:color w:val="auto"/>
          <w:kern w:val="21"/>
          <w:sz w:val="24"/>
          <w:szCs w:val="24"/>
          <w:highlight w:val="none"/>
          <w:lang w:eastAsia="zh-CN"/>
        </w:rPr>
        <w:t>1套</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val="zh-CN" w:eastAsia="zh-CN"/>
        </w:rPr>
        <w:t>DSA2302B</w:t>
      </w:r>
      <w:r>
        <w:rPr>
          <w:rFonts w:hint="default" w:ascii="Times New Roman" w:hAnsi="Times New Roman" w:cs="Times New Roman"/>
          <w:snapToGrid w:val="0"/>
          <w:color w:val="auto"/>
          <w:kern w:val="21"/>
          <w:sz w:val="24"/>
          <w:szCs w:val="24"/>
          <w:highlight w:val="none"/>
          <w:lang w:eastAsia="zh-CN"/>
        </w:rPr>
        <w:t>型</w:t>
      </w:r>
      <w:r>
        <w:rPr>
          <w:rFonts w:hint="default" w:ascii="Times New Roman" w:hAnsi="Times New Roman" w:cs="Times New Roman"/>
          <w:snapToGrid w:val="0"/>
          <w:color w:val="auto"/>
          <w:kern w:val="21"/>
          <w:sz w:val="24"/>
          <w:szCs w:val="24"/>
          <w:highlight w:val="none"/>
          <w:lang w:val="zh-CN" w:eastAsia="zh-CN"/>
        </w:rPr>
        <w:t>主变操作及非电量保护装置</w:t>
      </w:r>
      <w:r>
        <w:rPr>
          <w:rFonts w:hint="default" w:ascii="Times New Roman" w:hAnsi="Times New Roman" w:cs="Times New Roman"/>
          <w:snapToGrid w:val="0"/>
          <w:color w:val="auto"/>
          <w:kern w:val="21"/>
          <w:sz w:val="24"/>
          <w:szCs w:val="24"/>
          <w:highlight w:val="none"/>
          <w:lang w:eastAsia="zh-CN"/>
        </w:rPr>
        <w:t>1套</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DSA2243A-3C型综合</w:t>
      </w:r>
      <w:r>
        <w:rPr>
          <w:rFonts w:hint="default" w:ascii="Times New Roman" w:hAnsi="Times New Roman" w:cs="Times New Roman"/>
          <w:snapToGrid w:val="0"/>
          <w:color w:val="auto"/>
          <w:kern w:val="21"/>
          <w:sz w:val="24"/>
          <w:szCs w:val="24"/>
          <w:highlight w:val="none"/>
          <w:lang w:val="zh-CN" w:eastAsia="zh-CN"/>
        </w:rPr>
        <w:t>测控装置</w:t>
      </w:r>
      <w:r>
        <w:rPr>
          <w:rFonts w:hint="default" w:ascii="Times New Roman" w:hAnsi="Times New Roman" w:cs="Times New Roman"/>
          <w:snapToGrid w:val="0"/>
          <w:color w:val="auto"/>
          <w:kern w:val="21"/>
          <w:sz w:val="24"/>
          <w:szCs w:val="24"/>
          <w:highlight w:val="none"/>
          <w:lang w:eastAsia="zh-CN"/>
        </w:rPr>
        <w:t>1套</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eastAsia="zh-CN"/>
        </w:rPr>
        <w:t>2011年投入运行,设备运行良好。</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eastAsia="zh-CN"/>
        </w:rPr>
        <w:t xml:space="preserve">    10kV出线、</w:t>
      </w:r>
      <w:r>
        <w:rPr>
          <w:rFonts w:hint="default" w:ascii="Times New Roman" w:hAnsi="Times New Roman" w:cs="Times New Roman"/>
          <w:snapToGrid w:val="0"/>
          <w:color w:val="auto"/>
          <w:kern w:val="21"/>
          <w:sz w:val="24"/>
          <w:szCs w:val="24"/>
          <w:highlight w:val="none"/>
          <w:lang w:val="en-US" w:eastAsia="zh-CN"/>
        </w:rPr>
        <w:t>站用</w:t>
      </w:r>
      <w:r>
        <w:rPr>
          <w:rFonts w:hint="default" w:ascii="Times New Roman" w:hAnsi="Times New Roman" w:cs="Times New Roman"/>
          <w:snapToGrid w:val="0"/>
          <w:color w:val="auto"/>
          <w:kern w:val="21"/>
          <w:sz w:val="24"/>
          <w:szCs w:val="24"/>
          <w:highlight w:val="none"/>
          <w:lang w:val="zh-CN" w:eastAsia="zh-CN"/>
        </w:rPr>
        <w:t>变、电容器、分段备自投采用</w:t>
      </w:r>
      <w:r>
        <w:rPr>
          <w:rFonts w:hint="default" w:ascii="Times New Roman" w:hAnsi="Times New Roman" w:cs="Times New Roman"/>
          <w:snapToGrid w:val="0"/>
          <w:color w:val="auto"/>
          <w:kern w:val="21"/>
          <w:sz w:val="24"/>
          <w:szCs w:val="24"/>
          <w:highlight w:val="none"/>
          <w:lang w:val="zh-CN"/>
        </w:rPr>
        <w:t>南瑞科技</w:t>
      </w:r>
      <w:r>
        <w:rPr>
          <w:rFonts w:hint="default" w:ascii="Times New Roman" w:hAnsi="Times New Roman" w:cs="Times New Roman"/>
          <w:snapToGrid w:val="0"/>
          <w:color w:val="auto"/>
          <w:kern w:val="21"/>
          <w:sz w:val="24"/>
          <w:szCs w:val="24"/>
          <w:highlight w:val="none"/>
          <w:lang w:eastAsia="zh-CN"/>
        </w:rPr>
        <w:t>DSA2119(3C)</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eastAsia="zh-CN"/>
        </w:rPr>
        <w:t>DSA2116(3C)</w:t>
      </w:r>
      <w:r>
        <w:rPr>
          <w:rFonts w:hint="default" w:ascii="Times New Roman" w:hAnsi="Times New Roman" w:cs="Times New Roman"/>
          <w:snapToGrid w:val="0"/>
          <w:color w:val="auto"/>
          <w:kern w:val="21"/>
          <w:sz w:val="24"/>
          <w:szCs w:val="24"/>
          <w:highlight w:val="none"/>
          <w:lang w:val="zh-CN" w:eastAsia="zh-CN"/>
        </w:rPr>
        <w:t>、</w:t>
      </w:r>
      <w:r>
        <w:rPr>
          <w:rFonts w:hint="default" w:ascii="Times New Roman" w:hAnsi="Times New Roman" w:cs="Times New Roman"/>
          <w:snapToGrid w:val="0"/>
          <w:color w:val="auto"/>
          <w:kern w:val="21"/>
          <w:sz w:val="24"/>
          <w:szCs w:val="24"/>
          <w:highlight w:val="none"/>
          <w:lang w:eastAsia="zh-CN"/>
        </w:rPr>
        <w:t>DSA2131-3C、DSA2364(3C)</w:t>
      </w:r>
      <w:r>
        <w:rPr>
          <w:rFonts w:hint="default" w:ascii="Times New Roman" w:hAnsi="Times New Roman" w:cs="Times New Roman"/>
          <w:snapToGrid w:val="0"/>
          <w:color w:val="auto"/>
          <w:kern w:val="21"/>
          <w:sz w:val="24"/>
          <w:szCs w:val="24"/>
          <w:highlight w:val="none"/>
          <w:lang w:val="zh-CN" w:eastAsia="zh-CN"/>
        </w:rPr>
        <w:t>系列微机保护测控一体化装置，</w:t>
      </w:r>
      <w:r>
        <w:rPr>
          <w:rFonts w:hint="default" w:ascii="Times New Roman" w:hAnsi="Times New Roman" w:cs="Times New Roman"/>
          <w:snapToGrid w:val="0"/>
          <w:color w:val="auto"/>
          <w:kern w:val="21"/>
          <w:sz w:val="24"/>
          <w:szCs w:val="24"/>
          <w:highlight w:val="none"/>
          <w:lang w:eastAsia="zh-CN"/>
        </w:rPr>
        <w:t>2011年投入运行,设备运行良好。</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4.5.2  本期保护配置</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（1）主变压器</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根据设备现况，本期更换</w:t>
      </w:r>
      <w:r>
        <w:rPr>
          <w:rFonts w:hint="default" w:ascii="Times New Roman" w:hAnsi="Times New Roman" w:cs="Times New Roman"/>
          <w:snapToGrid w:val="0"/>
          <w:color w:val="auto"/>
          <w:kern w:val="21"/>
          <w:sz w:val="24"/>
          <w:szCs w:val="24"/>
          <w:highlight w:val="none"/>
          <w:lang w:eastAsia="zh-CN"/>
        </w:rPr>
        <w:t>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主变，利用原</w:t>
      </w:r>
      <w:r>
        <w:rPr>
          <w:rFonts w:hint="default" w:ascii="Times New Roman" w:hAnsi="Times New Roman" w:cs="Times New Roman"/>
          <w:snapToGrid w:val="0"/>
          <w:color w:val="auto"/>
          <w:kern w:val="21"/>
          <w:sz w:val="24"/>
          <w:szCs w:val="24"/>
          <w:highlight w:val="none"/>
          <w:lang w:eastAsia="zh-CN"/>
        </w:rPr>
        <w:t>1</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en-US" w:eastAsia="zh-CN"/>
        </w:rPr>
        <w:t>保护装置不变。</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lang w:val="zh-CN"/>
        </w:rPr>
        <w:t>10kV保护</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本期更换2面出线柜，本期均配置1套线路</w:t>
      </w:r>
      <w:r>
        <w:rPr>
          <w:rFonts w:hint="default" w:ascii="Times New Roman" w:hAnsi="Times New Roman" w:cs="Times New Roman"/>
          <w:snapToGrid w:val="0"/>
          <w:color w:val="auto"/>
          <w:kern w:val="21"/>
          <w:sz w:val="24"/>
          <w:szCs w:val="24"/>
          <w:highlight w:val="none"/>
          <w:lang w:val="zh-CN"/>
        </w:rPr>
        <w:t>保护测控一体化装置</w:t>
      </w:r>
      <w:r>
        <w:rPr>
          <w:rFonts w:hint="default" w:ascii="Times New Roman" w:hAnsi="Times New Roman" w:cs="Times New Roman"/>
          <w:snapToGrid w:val="0"/>
          <w:color w:val="auto"/>
          <w:kern w:val="21"/>
          <w:sz w:val="24"/>
          <w:szCs w:val="24"/>
          <w:highlight w:val="none"/>
          <w:lang w:val="zh-CN" w:eastAsia="zh-CN"/>
        </w:rPr>
        <w:t>。</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eastAsia="zh-CN"/>
        </w:rPr>
        <w:t>10kV出线保护配置电流速断和过电流保护，三相一次重合闸、低频减载；</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eastAsia="zh-CN"/>
        </w:rPr>
        <w:t>本期</w:t>
      </w:r>
      <w:r>
        <w:rPr>
          <w:rFonts w:hint="default" w:ascii="Times New Roman" w:hAnsi="Times New Roman" w:cs="Times New Roman"/>
          <w:snapToGrid w:val="0"/>
          <w:color w:val="auto"/>
          <w:kern w:val="21"/>
          <w:sz w:val="24"/>
          <w:szCs w:val="24"/>
          <w:highlight w:val="none"/>
          <w:lang w:val="en-US" w:eastAsia="zh-CN"/>
        </w:rPr>
        <w:t>新增</w:t>
      </w:r>
      <w:r>
        <w:rPr>
          <w:rFonts w:hint="default" w:ascii="Times New Roman" w:hAnsi="Times New Roman" w:cs="Times New Roman"/>
          <w:snapToGrid w:val="0"/>
          <w:color w:val="auto"/>
          <w:kern w:val="21"/>
          <w:sz w:val="24"/>
          <w:szCs w:val="24"/>
          <w:highlight w:val="none"/>
          <w:lang w:val="zh-CN" w:eastAsia="zh-CN"/>
        </w:rPr>
        <w:t>1面</w:t>
      </w:r>
      <w:r>
        <w:rPr>
          <w:rFonts w:hint="default" w:ascii="Times New Roman" w:hAnsi="Times New Roman" w:cs="Times New Roman"/>
          <w:snapToGrid w:val="0"/>
          <w:color w:val="auto"/>
          <w:kern w:val="21"/>
          <w:sz w:val="24"/>
          <w:szCs w:val="24"/>
          <w:highlight w:val="none"/>
          <w:lang w:val="zh-CN"/>
        </w:rPr>
        <w:t>电容器</w:t>
      </w:r>
      <w:r>
        <w:rPr>
          <w:rFonts w:hint="default" w:ascii="Times New Roman" w:hAnsi="Times New Roman" w:cs="Times New Roman"/>
          <w:snapToGrid w:val="0"/>
          <w:color w:val="auto"/>
          <w:kern w:val="21"/>
          <w:sz w:val="24"/>
          <w:szCs w:val="24"/>
          <w:highlight w:val="none"/>
          <w:lang w:val="zh-CN" w:eastAsia="zh-CN"/>
        </w:rPr>
        <w:t>柜，本期配置1套</w:t>
      </w:r>
      <w:r>
        <w:rPr>
          <w:rFonts w:hint="default" w:ascii="Times New Roman" w:hAnsi="Times New Roman" w:cs="Times New Roman"/>
          <w:snapToGrid w:val="0"/>
          <w:color w:val="auto"/>
          <w:kern w:val="21"/>
          <w:sz w:val="24"/>
          <w:szCs w:val="24"/>
          <w:highlight w:val="none"/>
          <w:lang w:val="zh-CN"/>
        </w:rPr>
        <w:t>电容器保护测控一体化装置</w:t>
      </w:r>
      <w:r>
        <w:rPr>
          <w:rFonts w:hint="default" w:ascii="Times New Roman" w:hAnsi="Times New Roman" w:cs="Times New Roman"/>
          <w:snapToGrid w:val="0"/>
          <w:color w:val="auto"/>
          <w:kern w:val="21"/>
          <w:sz w:val="24"/>
          <w:szCs w:val="24"/>
          <w:highlight w:val="none"/>
          <w:lang w:val="zh-CN" w:eastAsia="zh-CN"/>
        </w:rPr>
        <w:t>。</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10kV电容器配置电流速断和过电流保护、过电压、低电压及开口三角电压保护。</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4.5.3 对相关专业的要求</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zh-CN"/>
        </w:rPr>
        <w:t>）对直流电源的要求</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直流系统额定电压220V，单母线接线，设一组阀控式铅酸蓄电池组和一套高频开关电源充电装置，设一套微机型直流接地自动检测装置，满足全站直流供电要求。</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zh-CN"/>
        </w:rPr>
        <w:t>）对互感器的要求</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电流互感器、电压互感器均配置用于保护、测量、计量及自动装置的绕组，满足各自的精度要求。</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 xml:space="preserve">4.6  </w:t>
      </w:r>
      <w:r>
        <w:rPr>
          <w:rFonts w:hint="default" w:ascii="Times New Roman" w:hAnsi="Times New Roman" w:cs="Times New Roman"/>
          <w:color w:val="auto"/>
          <w:kern w:val="21"/>
          <w:sz w:val="24"/>
          <w:szCs w:val="24"/>
          <w:highlight w:val="none"/>
          <w:lang w:eastAsia="zh-CN"/>
        </w:rPr>
        <w:t>交</w:t>
      </w:r>
      <w:r>
        <w:rPr>
          <w:rFonts w:hint="default" w:ascii="Times New Roman" w:hAnsi="Times New Roman" w:cs="Times New Roman"/>
          <w:color w:val="auto"/>
          <w:kern w:val="21"/>
          <w:sz w:val="24"/>
          <w:szCs w:val="24"/>
          <w:highlight w:val="none"/>
        </w:rPr>
        <w:t>直流电源系统</w:t>
      </w:r>
      <w:bookmarkEnd w:id="256"/>
      <w:r>
        <w:rPr>
          <w:rFonts w:hint="default" w:ascii="Times New Roman" w:hAnsi="Times New Roman" w:cs="Times New Roman"/>
          <w:color w:val="auto"/>
          <w:kern w:val="21"/>
          <w:sz w:val="24"/>
          <w:szCs w:val="24"/>
          <w:highlight w:val="none"/>
        </w:rPr>
        <w:t xml:space="preserve"> </w:t>
      </w:r>
      <w:r>
        <w:rPr>
          <w:rFonts w:hint="default" w:ascii="Times New Roman" w:hAnsi="Times New Roman" w:cs="Times New Roman"/>
          <w:color w:val="auto"/>
          <w:kern w:val="44"/>
          <w:sz w:val="24"/>
          <w:szCs w:val="24"/>
          <w:highlight w:val="none"/>
        </w:rPr>
        <w:t xml:space="preserve"> </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直流电源系统组屏4面布置于二次设备室内，</w:t>
      </w:r>
      <w:r>
        <w:rPr>
          <w:rFonts w:hint="default" w:ascii="Times New Roman" w:hAnsi="Times New Roman" w:cs="Times New Roman"/>
          <w:color w:val="auto"/>
          <w:sz w:val="24"/>
          <w:szCs w:val="24"/>
          <w:highlight w:val="none"/>
          <w:lang w:val="zh-CN"/>
        </w:rPr>
        <w:t>1组300AH蓄电池,</w:t>
      </w:r>
      <w:r>
        <w:rPr>
          <w:rFonts w:hint="default" w:ascii="Times New Roman" w:hAnsi="Times New Roman" w:cs="Times New Roman"/>
          <w:snapToGrid w:val="0"/>
          <w:color w:val="auto"/>
          <w:kern w:val="21"/>
          <w:sz w:val="24"/>
          <w:szCs w:val="24"/>
          <w:highlight w:val="none"/>
          <w:lang w:val="zh-CN"/>
        </w:rPr>
        <w:t>直流馈线已按全站最终规模配置。设备运行良好，满足本期扩建要求，本期不增加交流设备。</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全站已配置1套逆变系统（UPS），容量</w:t>
      </w:r>
      <w:r>
        <w:rPr>
          <w:rFonts w:hint="default" w:ascii="Times New Roman" w:hAnsi="Times New Roman" w:cs="Times New Roman"/>
          <w:snapToGrid w:val="0"/>
          <w:color w:val="auto"/>
          <w:kern w:val="21"/>
          <w:sz w:val="24"/>
          <w:szCs w:val="24"/>
          <w:highlight w:val="none"/>
          <w:lang w:val="zh-CN" w:eastAsia="zh-CN"/>
        </w:rPr>
        <w:t>5</w:t>
      </w:r>
      <w:r>
        <w:rPr>
          <w:rFonts w:hint="default" w:ascii="Times New Roman" w:hAnsi="Times New Roman" w:cs="Times New Roman"/>
          <w:snapToGrid w:val="0"/>
          <w:color w:val="auto"/>
          <w:kern w:val="21"/>
          <w:sz w:val="24"/>
          <w:szCs w:val="24"/>
          <w:highlight w:val="none"/>
          <w:lang w:val="zh-CN"/>
        </w:rPr>
        <w:t>kVA,满足本期工程要求，本期不增加。</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变电站已配置1套交流电源系统，采用单母线分段接线。</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zh-CN"/>
        </w:rPr>
        <w:t>交流电源系统组屏布置于二次设备室内，交流馈线已按全站最终规模配置。设备运行良好，满足本期扩建要求，本期不增加交流设备。</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57" w:name="_Toc2329"/>
      <w:r>
        <w:rPr>
          <w:rFonts w:hint="default" w:ascii="Times New Roman" w:hAnsi="Times New Roman" w:cs="Times New Roman"/>
          <w:color w:val="auto"/>
          <w:kern w:val="21"/>
          <w:sz w:val="24"/>
          <w:szCs w:val="24"/>
          <w:highlight w:val="none"/>
        </w:rPr>
        <w:t>4.7  其他二次系统</w:t>
      </w:r>
      <w:bookmarkEnd w:id="257"/>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4.7.1  全站时间同步系统</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全站配置1套时间同步系统，时间同步设备接入位置满足</w:t>
      </w:r>
      <w:r>
        <w:rPr>
          <w:rFonts w:hint="default" w:ascii="Times New Roman" w:hAnsi="Times New Roman" w:cs="Times New Roman"/>
          <w:snapToGrid w:val="0"/>
          <w:color w:val="auto"/>
          <w:kern w:val="21"/>
          <w:sz w:val="24"/>
          <w:szCs w:val="24"/>
          <w:highlight w:val="none"/>
          <w:lang w:val="en-US" w:eastAsia="zh-CN"/>
        </w:rPr>
        <w:t>本期</w:t>
      </w:r>
      <w:r>
        <w:rPr>
          <w:rFonts w:hint="default" w:ascii="Times New Roman" w:hAnsi="Times New Roman" w:cs="Times New Roman"/>
          <w:snapToGrid w:val="0"/>
          <w:color w:val="auto"/>
          <w:kern w:val="21"/>
          <w:sz w:val="24"/>
          <w:szCs w:val="24"/>
          <w:highlight w:val="none"/>
          <w:lang w:val="zh-CN"/>
        </w:rPr>
        <w:t>设备接入要求。</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4.7.2  电流互感器、电压互感器二次参数</w:t>
      </w:r>
      <w:r>
        <w:rPr>
          <w:rFonts w:hint="default" w:ascii="Times New Roman" w:hAnsi="Times New Roman" w:cs="Times New Roman"/>
          <w:snapToGrid w:val="0"/>
          <w:color w:val="auto"/>
          <w:kern w:val="21"/>
          <w:sz w:val="24"/>
          <w:szCs w:val="24"/>
          <w:highlight w:val="none"/>
          <w:lang w:val="en-US" w:eastAsia="zh-CN"/>
        </w:rPr>
        <w:t>校核及</w:t>
      </w:r>
      <w:r>
        <w:rPr>
          <w:rFonts w:hint="default" w:ascii="Times New Roman" w:hAnsi="Times New Roman" w:cs="Times New Roman"/>
          <w:snapToGrid w:val="0"/>
          <w:color w:val="auto"/>
          <w:kern w:val="21"/>
          <w:sz w:val="24"/>
          <w:szCs w:val="24"/>
          <w:highlight w:val="none"/>
        </w:rPr>
        <w:t>选择</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（1）电流互感器</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现状：</w:t>
      </w:r>
    </w:p>
    <w:p>
      <w:pPr>
        <w:keepNext w:val="0"/>
        <w:keepLines w:val="0"/>
        <w:pageBreakBefore w:val="0"/>
        <w:numPr>
          <w:ilvl w:val="0"/>
          <w:numId w:val="9"/>
        </w:numPr>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#1主变110kV侧进线</w:t>
      </w:r>
      <w:r>
        <w:rPr>
          <w:rFonts w:hint="default" w:ascii="Times New Roman" w:hAnsi="Times New Roman" w:cs="Times New Roman"/>
          <w:snapToGrid w:val="0"/>
          <w:color w:val="auto"/>
          <w:kern w:val="21"/>
          <w:sz w:val="24"/>
          <w:szCs w:val="24"/>
          <w:highlight w:val="none"/>
          <w:lang w:val="en-US" w:eastAsia="zh-CN"/>
        </w:rPr>
        <w:t>CT</w:t>
      </w:r>
      <w:r>
        <w:rPr>
          <w:rFonts w:hint="default" w:ascii="Times New Roman" w:hAnsi="Times New Roman" w:cs="Times New Roman"/>
          <w:snapToGrid w:val="0"/>
          <w:color w:val="auto"/>
          <w:kern w:val="21"/>
          <w:sz w:val="24"/>
          <w:szCs w:val="24"/>
          <w:highlight w:val="none"/>
          <w:lang w:val="zh-CN"/>
        </w:rPr>
        <w:t>为：</w:t>
      </w:r>
      <w:r>
        <w:rPr>
          <w:rFonts w:hint="default" w:ascii="Times New Roman" w:hAnsi="Times New Roman" w:cs="Times New Roman"/>
          <w:snapToGrid w:val="0"/>
          <w:color w:val="auto"/>
          <w:kern w:val="21"/>
          <w:sz w:val="24"/>
          <w:szCs w:val="24"/>
          <w:highlight w:val="none"/>
          <w:lang w:val="en-US" w:eastAsia="zh-CN"/>
        </w:rPr>
        <w:t>准确级</w:t>
      </w:r>
      <w:r>
        <w:rPr>
          <w:rFonts w:hint="default" w:ascii="Times New Roman" w:hAnsi="Times New Roman" w:cs="Times New Roman"/>
          <w:snapToGrid w:val="0"/>
          <w:color w:val="auto"/>
          <w:kern w:val="21"/>
          <w:sz w:val="24"/>
          <w:szCs w:val="24"/>
          <w:highlight w:val="none"/>
          <w:lang w:val="zh-CN"/>
        </w:rPr>
        <w:t>5P30/5P30/5P30/0.5/0.2S，容量分别为40VA/40VA/40VA/30VA/30VA。经校核</w:t>
      </w:r>
      <w:r>
        <w:rPr>
          <w:rFonts w:hint="default" w:ascii="Times New Roman" w:hAnsi="Times New Roman" w:cs="Times New Roman"/>
          <w:snapToGrid w:val="0"/>
          <w:color w:val="auto"/>
          <w:kern w:val="21"/>
          <w:sz w:val="24"/>
          <w:szCs w:val="24"/>
          <w:highlight w:val="none"/>
          <w:lang w:val="en-US" w:eastAsia="zh-CN"/>
        </w:rPr>
        <w:t>满足本期要求，不满足远期要求，择期更换</w:t>
      </w:r>
      <w:r>
        <w:rPr>
          <w:rFonts w:hint="default" w:ascii="Times New Roman" w:hAnsi="Times New Roman" w:cs="Times New Roman"/>
          <w:snapToGrid w:val="0"/>
          <w:color w:val="auto"/>
          <w:kern w:val="21"/>
          <w:sz w:val="24"/>
          <w:szCs w:val="24"/>
          <w:highlight w:val="none"/>
          <w:lang w:val="zh-CN"/>
        </w:rPr>
        <w:t>。</w:t>
      </w:r>
    </w:p>
    <w:p>
      <w:pPr>
        <w:keepNext w:val="0"/>
        <w:keepLines w:val="0"/>
        <w:pageBreakBefore w:val="0"/>
        <w:numPr>
          <w:ilvl w:val="0"/>
          <w:numId w:val="9"/>
        </w:numPr>
        <w:kinsoku/>
        <w:wordWrap/>
        <w:overflowPunct/>
        <w:topLinePunct w:val="0"/>
        <w:autoSpaceDE/>
        <w:autoSpaceDN/>
        <w:bidi w:val="0"/>
        <w:spacing w:line="46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snapToGrid w:val="0"/>
          <w:color w:val="auto"/>
          <w:kern w:val="21"/>
          <w:sz w:val="24"/>
          <w:szCs w:val="24"/>
          <w:highlight w:val="none"/>
          <w:lang w:val="zh-CN"/>
        </w:rPr>
        <w:t>#1主变10kV侧进线</w:t>
      </w:r>
      <w:r>
        <w:rPr>
          <w:rFonts w:hint="default" w:ascii="Times New Roman" w:hAnsi="Times New Roman" w:cs="Times New Roman"/>
          <w:snapToGrid w:val="0"/>
          <w:color w:val="auto"/>
          <w:kern w:val="21"/>
          <w:sz w:val="24"/>
          <w:szCs w:val="24"/>
          <w:highlight w:val="none"/>
          <w:lang w:val="en-US" w:eastAsia="zh-CN"/>
        </w:rPr>
        <w:t>CT</w:t>
      </w:r>
      <w:r>
        <w:rPr>
          <w:rFonts w:hint="default" w:ascii="Times New Roman" w:hAnsi="Times New Roman" w:cs="Times New Roman"/>
          <w:snapToGrid w:val="0"/>
          <w:color w:val="auto"/>
          <w:kern w:val="21"/>
          <w:sz w:val="24"/>
          <w:szCs w:val="24"/>
          <w:highlight w:val="none"/>
          <w:lang w:val="zh-CN"/>
        </w:rPr>
        <w:t>为：</w:t>
      </w:r>
      <w:r>
        <w:rPr>
          <w:rFonts w:hint="default" w:ascii="Times New Roman" w:hAnsi="Times New Roman" w:cs="Times New Roman"/>
          <w:snapToGrid w:val="0"/>
          <w:color w:val="auto"/>
          <w:kern w:val="21"/>
          <w:sz w:val="24"/>
          <w:szCs w:val="24"/>
          <w:highlight w:val="none"/>
          <w:lang w:val="en-US" w:eastAsia="zh-CN"/>
        </w:rPr>
        <w:t>准确级</w:t>
      </w:r>
      <w:r>
        <w:rPr>
          <w:rFonts w:hint="default" w:ascii="Times New Roman" w:hAnsi="Times New Roman" w:cs="Times New Roman"/>
          <w:snapToGrid w:val="0"/>
          <w:color w:val="auto"/>
          <w:kern w:val="21"/>
          <w:sz w:val="24"/>
          <w:szCs w:val="24"/>
          <w:highlight w:val="none"/>
          <w:lang w:val="zh-CN"/>
        </w:rPr>
        <w:t>5P20/5P20/0.5/0.2S，容量分别为30VA/30VA/30VA30VA。经校核容量，变比不满足要求，本期更换。</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lang w:val="zh-CN"/>
        </w:rPr>
        <w:t>110kV线路</w:t>
      </w:r>
      <w:r>
        <w:rPr>
          <w:rFonts w:hint="default" w:ascii="Times New Roman" w:hAnsi="Times New Roman" w:cs="Times New Roman"/>
          <w:snapToGrid w:val="0"/>
          <w:color w:val="auto"/>
          <w:kern w:val="21"/>
          <w:sz w:val="24"/>
          <w:szCs w:val="24"/>
          <w:highlight w:val="none"/>
          <w:lang w:val="en-US" w:eastAsia="zh-CN"/>
        </w:rPr>
        <w:t>CT</w:t>
      </w:r>
      <w:r>
        <w:rPr>
          <w:rFonts w:hint="default" w:ascii="Times New Roman" w:hAnsi="Times New Roman" w:cs="Times New Roman"/>
          <w:snapToGrid w:val="0"/>
          <w:color w:val="auto"/>
          <w:kern w:val="21"/>
          <w:sz w:val="24"/>
          <w:szCs w:val="24"/>
          <w:highlight w:val="none"/>
          <w:lang w:val="zh-CN"/>
        </w:rPr>
        <w:t>为：</w:t>
      </w:r>
      <w:r>
        <w:rPr>
          <w:rFonts w:hint="default" w:ascii="Times New Roman" w:hAnsi="Times New Roman" w:cs="Times New Roman"/>
          <w:snapToGrid w:val="0"/>
          <w:color w:val="auto"/>
          <w:kern w:val="21"/>
          <w:sz w:val="24"/>
          <w:szCs w:val="24"/>
          <w:highlight w:val="none"/>
          <w:lang w:val="en-US" w:eastAsia="zh-CN"/>
        </w:rPr>
        <w:t>准确级</w:t>
      </w:r>
      <w:r>
        <w:rPr>
          <w:rFonts w:hint="default" w:ascii="Times New Roman" w:hAnsi="Times New Roman" w:cs="Times New Roman"/>
          <w:snapToGrid w:val="0"/>
          <w:color w:val="auto"/>
          <w:kern w:val="21"/>
          <w:sz w:val="24"/>
          <w:szCs w:val="24"/>
          <w:highlight w:val="none"/>
          <w:lang w:val="zh-CN"/>
        </w:rPr>
        <w:t>5P20/5P20/5P20/0.5/0.2S，容量分别为30VA/30VA/30VA/30VA/30VA。经校核不满足要求，本期更换。</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本期：</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zh-CN"/>
        </w:rPr>
        <w:t>110kV线路</w:t>
      </w:r>
      <w:r>
        <w:rPr>
          <w:rFonts w:hint="default" w:ascii="Times New Roman" w:hAnsi="Times New Roman" w:cs="Times New Roman"/>
          <w:snapToGrid w:val="0"/>
          <w:color w:val="auto"/>
          <w:kern w:val="21"/>
          <w:sz w:val="24"/>
          <w:szCs w:val="24"/>
          <w:highlight w:val="none"/>
          <w:lang w:val="en-US" w:eastAsia="zh-CN"/>
        </w:rPr>
        <w:t>CT</w:t>
      </w:r>
      <w:r>
        <w:rPr>
          <w:rFonts w:hint="default" w:ascii="Times New Roman" w:hAnsi="Times New Roman" w:cs="Times New Roman"/>
          <w:snapToGrid w:val="0"/>
          <w:color w:val="auto"/>
          <w:kern w:val="21"/>
          <w:sz w:val="24"/>
          <w:szCs w:val="24"/>
          <w:highlight w:val="none"/>
          <w:lang w:val="zh-CN"/>
        </w:rPr>
        <w:t>为：</w:t>
      </w:r>
      <w:r>
        <w:rPr>
          <w:rFonts w:hint="default" w:ascii="Times New Roman" w:hAnsi="Times New Roman" w:cs="Times New Roman"/>
          <w:snapToGrid w:val="0"/>
          <w:color w:val="auto"/>
          <w:kern w:val="21"/>
          <w:sz w:val="24"/>
          <w:szCs w:val="24"/>
          <w:highlight w:val="none"/>
          <w:lang w:val="en-US" w:eastAsia="zh-CN"/>
        </w:rPr>
        <w:t>准确级</w:t>
      </w:r>
      <w:r>
        <w:rPr>
          <w:rFonts w:hint="default" w:ascii="Times New Roman" w:hAnsi="Times New Roman" w:cs="Times New Roman"/>
          <w:snapToGrid w:val="0"/>
          <w:color w:val="auto"/>
          <w:kern w:val="21"/>
          <w:sz w:val="24"/>
          <w:szCs w:val="24"/>
          <w:highlight w:val="none"/>
          <w:lang w:val="zh-CN"/>
        </w:rPr>
        <w:t>5P30/5P30/5P30/0.5/0.2S，容量分别为30VA/30VA/30VA/30VA/30VA。</w:t>
      </w:r>
    </w:p>
    <w:p>
      <w:pPr>
        <w:pStyle w:val="2"/>
        <w:keepNext w:val="0"/>
        <w:keepLines w:val="0"/>
        <w:pageBreakBefore w:val="0"/>
        <w:widowControl w:val="0"/>
        <w:numPr>
          <w:ilvl w:val="0"/>
          <w:numId w:val="0"/>
        </w:numPr>
        <w:kinsoku/>
        <w:wordWrap/>
        <w:overflowPunct/>
        <w:topLinePunct w:val="0"/>
        <w:autoSpaceDE/>
        <w:autoSpaceDN/>
        <w:bidi w:val="0"/>
        <w:spacing w:line="460" w:lineRule="exact"/>
        <w:ind w:left="107" w:leftChars="0" w:firstLine="0" w:firstLineChars="0"/>
        <w:jc w:val="both"/>
        <w:rPr>
          <w:rFonts w:hint="default" w:ascii="Times New Roman" w:hAnsi="Times New Roman" w:cs="Times New Roman"/>
          <w:color w:val="auto"/>
          <w:sz w:val="24"/>
          <w:szCs w:val="24"/>
          <w:highlight w:val="none"/>
          <w:lang w:val="zh-CN"/>
        </w:rPr>
      </w:pPr>
      <w:r>
        <w:rPr>
          <w:rFonts w:hint="default" w:ascii="Times New Roman" w:hAnsi="Times New Roman" w:cs="Times New Roman"/>
          <w:snapToGrid w:val="0"/>
          <w:color w:val="auto"/>
          <w:kern w:val="21"/>
          <w:sz w:val="24"/>
          <w:szCs w:val="24"/>
          <w:highlight w:val="none"/>
          <w:lang w:val="zh-CN"/>
        </w:rPr>
        <w:t xml:space="preserve">    2）#1主变10kV侧进线</w:t>
      </w:r>
      <w:r>
        <w:rPr>
          <w:rFonts w:hint="default" w:ascii="Times New Roman" w:hAnsi="Times New Roman" w:cs="Times New Roman"/>
          <w:snapToGrid w:val="0"/>
          <w:color w:val="auto"/>
          <w:kern w:val="21"/>
          <w:sz w:val="24"/>
          <w:szCs w:val="24"/>
          <w:highlight w:val="none"/>
          <w:lang w:val="en-US" w:eastAsia="zh-CN"/>
        </w:rPr>
        <w:t>CT</w:t>
      </w:r>
      <w:r>
        <w:rPr>
          <w:rFonts w:hint="default" w:ascii="Times New Roman" w:hAnsi="Times New Roman" w:cs="Times New Roman"/>
          <w:snapToGrid w:val="0"/>
          <w:color w:val="auto"/>
          <w:kern w:val="21"/>
          <w:sz w:val="24"/>
          <w:szCs w:val="24"/>
          <w:highlight w:val="none"/>
          <w:lang w:val="zh-CN"/>
        </w:rPr>
        <w:t>为：</w:t>
      </w:r>
      <w:r>
        <w:rPr>
          <w:rFonts w:hint="default" w:ascii="Times New Roman" w:hAnsi="Times New Roman" w:cs="Times New Roman"/>
          <w:snapToGrid w:val="0"/>
          <w:color w:val="auto"/>
          <w:kern w:val="21"/>
          <w:sz w:val="24"/>
          <w:szCs w:val="24"/>
          <w:highlight w:val="none"/>
          <w:lang w:val="en-US" w:eastAsia="zh-CN"/>
        </w:rPr>
        <w:t>准确级</w:t>
      </w:r>
      <w:r>
        <w:rPr>
          <w:rFonts w:hint="default" w:ascii="Times New Roman" w:hAnsi="Times New Roman" w:cs="Times New Roman"/>
          <w:snapToGrid w:val="0"/>
          <w:color w:val="auto"/>
          <w:kern w:val="21"/>
          <w:sz w:val="24"/>
          <w:szCs w:val="24"/>
          <w:highlight w:val="none"/>
          <w:lang w:val="zh-CN"/>
        </w:rPr>
        <w:t>5P20/5P20/0.5/0.2S，容量分别为30VA/30VA/30VA30VA。</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（2）电压互感器</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zh-CN"/>
        </w:rPr>
        <w:t>110kV电压互感器配置满足保护、测量、计量及自动装置的要求。配置</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zh-CN"/>
        </w:rPr>
        <w:t>个二次绕组分别为：0.2/0.5（3P）/0.5（3P），容量分别为：</w:t>
      </w:r>
      <w:r>
        <w:rPr>
          <w:rFonts w:hint="default" w:ascii="Times New Roman" w:hAnsi="Times New Roman" w:cs="Times New Roman"/>
          <w:color w:val="auto"/>
          <w:sz w:val="24"/>
          <w:szCs w:val="24"/>
          <w:highlight w:val="none"/>
        </w:rPr>
        <w:t>50</w:t>
      </w:r>
      <w:r>
        <w:rPr>
          <w:rFonts w:hint="default" w:ascii="Times New Roman" w:hAnsi="Times New Roman" w:cs="Times New Roman"/>
          <w:color w:val="auto"/>
          <w:sz w:val="24"/>
          <w:szCs w:val="24"/>
          <w:highlight w:val="none"/>
          <w:lang w:val="zh-CN"/>
        </w:rPr>
        <w:t>VA</w:t>
      </w: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lang w:val="zh-CN"/>
        </w:rPr>
        <w:t>0VA</w:t>
      </w: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color w:val="auto"/>
          <w:sz w:val="24"/>
          <w:szCs w:val="24"/>
          <w:highlight w:val="none"/>
          <w:lang w:val="zh-CN"/>
        </w:rPr>
        <w:t>10</w:t>
      </w:r>
      <w:r>
        <w:rPr>
          <w:rFonts w:hint="default" w:ascii="Times New Roman" w:hAnsi="Times New Roman" w:cs="Times New Roman"/>
          <w:color w:val="auto"/>
          <w:sz w:val="24"/>
          <w:szCs w:val="24"/>
          <w:highlight w:val="none"/>
        </w:rPr>
        <w:t>0</w:t>
      </w:r>
      <w:r>
        <w:rPr>
          <w:rFonts w:hint="default" w:ascii="Times New Roman" w:hAnsi="Times New Roman" w:cs="Times New Roman"/>
          <w:color w:val="auto"/>
          <w:sz w:val="24"/>
          <w:szCs w:val="24"/>
          <w:highlight w:val="none"/>
          <w:lang w:val="zh-CN"/>
        </w:rPr>
        <w:t>VA。</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经校核</w:t>
      </w: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zh-CN"/>
        </w:rPr>
        <w:t>10kV电压互感器</w:t>
      </w:r>
      <w:r>
        <w:rPr>
          <w:rFonts w:hint="default" w:ascii="Times New Roman" w:hAnsi="Times New Roman" w:cs="Times New Roman"/>
          <w:color w:val="auto"/>
          <w:sz w:val="24"/>
          <w:szCs w:val="24"/>
          <w:highlight w:val="none"/>
        </w:rPr>
        <w:t>满足本期工程，无需更换。</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4.7.3  二次设备的抗干扰、接地、防雷</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严格按照相关规程和《国家电网公司十八项电网重大反事故措施》（2011年修订版）实施细则的精神和要求执行。全站保护柜、监控柜、安全自动装置等设备具有良好的抗干扰能力，符合有关电磁兼容性要求。设计抗干扰措施主要包括：</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（1）二次设备抗干扰</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a、继电保护装置所有二次回路的电缆均使用屏蔽电缆。</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b、电力电缆、控制电缆均选用阻燃电缆。</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c、交流电流和电压回路、交流和直流回路、强电和弱电回路，以及来自配电装置区的电压互感器二次的四根引入线和电压互感器开口三角绕组的两根引入线均使用各自独立电缆。</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d、合理规划二次电缆路径，尽可能离开高压母线、避雷器和避雷针的接地点、并联电容器等设备，避免和减少迂回，缩短二次电缆的长度。</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（2）二次设备接地</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a、控制电缆的屏蔽层两端可靠接地。</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b、所有敏感电子装置的工作接地不与安全地或保护地混接；保护装置柜内的交流供电电源的中性线不接入等电位接地网。                                                                    </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c、在敷设二次电缆的沟道处，使用截面不小于100mm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的铜缆敷设与变电站主接地网紧密连接的等电位接地网。配电装置区的就地智能汇控柜内设置截面不小于100mm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的裸铜排，并使用截面不小于100mm</w:t>
      </w:r>
      <w:r>
        <w:rPr>
          <w:rFonts w:hint="default" w:ascii="Times New Roman" w:hAnsi="Times New Roman" w:cs="Times New Roman"/>
          <w:snapToGrid w:val="0"/>
          <w:color w:val="auto"/>
          <w:kern w:val="21"/>
          <w:sz w:val="24"/>
          <w:szCs w:val="24"/>
          <w:highlight w:val="none"/>
          <w:vertAlign w:val="superscript"/>
        </w:rPr>
        <w:t>2</w:t>
      </w:r>
      <w:r>
        <w:rPr>
          <w:rFonts w:hint="default" w:ascii="Times New Roman" w:hAnsi="Times New Roman" w:cs="Times New Roman"/>
          <w:snapToGrid w:val="0"/>
          <w:color w:val="auto"/>
          <w:kern w:val="21"/>
          <w:sz w:val="24"/>
          <w:szCs w:val="24"/>
          <w:highlight w:val="none"/>
        </w:rPr>
        <w:t>的铜缆与电缆沟道内的等电位接地网连接。</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（3）二次设备防雷</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在各种装置的交、直流电源输入处配置电源防雷器。</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4.7.4  辅助控制系统</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4.7.4.1火灾自动探测报警系统</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站内已配置1套火灾报警系统，火灾探测区域包括主变压器、10kV配电装置室、二次设备室等。根据安装部位的不同，采用不同原理的不同类型的探测器。当有火情时，火灾报警系统发出信号，并通过通信接口将信息送至</w:t>
      </w:r>
      <w:r>
        <w:rPr>
          <w:rFonts w:hint="default" w:ascii="Times New Roman" w:hAnsi="Times New Roman" w:cs="Times New Roman"/>
          <w:snapToGrid w:val="0"/>
          <w:color w:val="auto"/>
          <w:kern w:val="21"/>
          <w:sz w:val="24"/>
          <w:szCs w:val="24"/>
          <w:highlight w:val="none"/>
          <w:lang w:val="en-US" w:eastAsia="zh-CN"/>
        </w:rPr>
        <w:t>安阳</w:t>
      </w:r>
      <w:r>
        <w:rPr>
          <w:rFonts w:hint="default" w:ascii="Times New Roman" w:hAnsi="Times New Roman" w:cs="Times New Roman"/>
          <w:snapToGrid w:val="0"/>
          <w:color w:val="auto"/>
          <w:kern w:val="21"/>
          <w:sz w:val="24"/>
          <w:szCs w:val="24"/>
          <w:highlight w:val="none"/>
          <w:lang w:val="zh-CN"/>
        </w:rPr>
        <w:t>地调。满足扩建要求，本期不增加。</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4.7.4.2安全监视系统</w:t>
      </w:r>
    </w:p>
    <w:p>
      <w:pPr>
        <w:keepNext w:val="0"/>
        <w:keepLines w:val="0"/>
        <w:pageBreakBefore w:val="0"/>
        <w:kinsoku/>
        <w:wordWrap/>
        <w:overflowPunct/>
        <w:topLinePunct w:val="0"/>
        <w:autoSpaceDE/>
        <w:autoSpaceDN/>
        <w:bidi w:val="0"/>
        <w:spacing w:line="460" w:lineRule="exact"/>
        <w:ind w:firstLine="480" w:firstLineChars="200"/>
        <w:jc w:val="left"/>
        <w:textAlignment w:val="baseline"/>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站内已配置1套图像监控系统，为确保变电站运行的安全可靠性，本期</w:t>
      </w:r>
      <w:r>
        <w:rPr>
          <w:rFonts w:hint="default" w:ascii="Times New Roman" w:hAnsi="Times New Roman" w:cs="Times New Roman"/>
          <w:snapToGrid w:val="0"/>
          <w:color w:val="auto"/>
          <w:kern w:val="21"/>
          <w:sz w:val="24"/>
          <w:szCs w:val="24"/>
          <w:highlight w:val="none"/>
          <w:lang w:val="en-US" w:eastAsia="zh-CN"/>
        </w:rPr>
        <w:t>不增加设备</w:t>
      </w:r>
      <w:r>
        <w:rPr>
          <w:rFonts w:hint="default" w:ascii="Times New Roman" w:hAnsi="Times New Roman" w:cs="Times New Roman"/>
          <w:snapToGrid w:val="0"/>
          <w:color w:val="auto"/>
          <w:kern w:val="21"/>
          <w:sz w:val="24"/>
          <w:szCs w:val="24"/>
          <w:highlight w:val="none"/>
        </w:rPr>
        <w:t>。</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pacing w:line="460" w:lineRule="exact"/>
        <w:outlineLvl w:val="1"/>
        <w:rPr>
          <w:rFonts w:hint="default" w:ascii="Times New Roman" w:hAnsi="Times New Roman" w:cs="Times New Roman"/>
          <w:color w:val="auto"/>
          <w:kern w:val="21"/>
          <w:sz w:val="24"/>
          <w:szCs w:val="24"/>
          <w:highlight w:val="none"/>
          <w:lang w:val="zh-CN"/>
        </w:rPr>
      </w:pPr>
      <w:bookmarkStart w:id="258" w:name="_Toc10620"/>
      <w:r>
        <w:rPr>
          <w:rFonts w:hint="default" w:ascii="Times New Roman" w:hAnsi="Times New Roman" w:cs="Times New Roman"/>
          <w:color w:val="auto"/>
          <w:kern w:val="21"/>
          <w:sz w:val="24"/>
          <w:szCs w:val="24"/>
          <w:highlight w:val="none"/>
          <w:lang w:val="zh-CN"/>
        </w:rPr>
        <w:t>4.8  二次设备组柜及布置</w:t>
      </w:r>
      <w:bookmarkEnd w:id="258"/>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4.8.1  二次设备布置</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二次设备室按变电站最终规模设计,共设有二次屏位22个(含通信屏位)。远动屏、通信屏、主变</w:t>
      </w:r>
      <w:r>
        <w:rPr>
          <w:rFonts w:hint="default" w:ascii="Times New Roman" w:hAnsi="Times New Roman" w:cs="Times New Roman"/>
          <w:color w:val="auto"/>
          <w:sz w:val="24"/>
          <w:szCs w:val="24"/>
          <w:highlight w:val="none"/>
          <w:lang w:val="en-US" w:eastAsia="zh-CN"/>
        </w:rPr>
        <w:t>各侧</w:t>
      </w:r>
      <w:r>
        <w:rPr>
          <w:rFonts w:hint="default" w:ascii="Times New Roman" w:hAnsi="Times New Roman" w:cs="Times New Roman"/>
          <w:color w:val="auto"/>
          <w:sz w:val="24"/>
          <w:szCs w:val="24"/>
          <w:highlight w:val="none"/>
          <w:lang w:val="zh-CN"/>
        </w:rPr>
        <w:t>保护测控、110kV保护测控</w:t>
      </w:r>
      <w:r>
        <w:rPr>
          <w:rFonts w:hint="default" w:ascii="Times New Roman" w:hAnsi="Times New Roman" w:cs="Times New Roman"/>
          <w:color w:val="auto"/>
          <w:sz w:val="24"/>
          <w:szCs w:val="24"/>
          <w:highlight w:val="none"/>
          <w:lang w:val="en-US" w:eastAsia="zh-CN"/>
        </w:rPr>
        <w:t>集中组屏</w:t>
      </w:r>
      <w:r>
        <w:rPr>
          <w:rFonts w:hint="default" w:ascii="Times New Roman" w:hAnsi="Times New Roman" w:cs="Times New Roman"/>
          <w:color w:val="auto"/>
          <w:sz w:val="24"/>
          <w:szCs w:val="24"/>
          <w:highlight w:val="none"/>
          <w:lang w:val="zh-CN"/>
        </w:rPr>
        <w:t>布置于二次设备室内，10kV保护测控就地布置于开关柜。</w:t>
      </w:r>
      <w:r>
        <w:rPr>
          <w:rFonts w:hint="default" w:ascii="Times New Roman" w:hAnsi="Times New Roman" w:cs="Times New Roman"/>
          <w:color w:val="auto"/>
          <w:sz w:val="24"/>
          <w:szCs w:val="24"/>
          <w:highlight w:val="none"/>
          <w:lang w:val="en-US" w:eastAsia="zh-CN"/>
        </w:rPr>
        <w:t>二次设备室</w:t>
      </w:r>
      <w:r>
        <w:rPr>
          <w:rFonts w:hint="default" w:ascii="Times New Roman" w:hAnsi="Times New Roman" w:cs="Times New Roman"/>
          <w:color w:val="auto"/>
          <w:sz w:val="24"/>
          <w:szCs w:val="24"/>
          <w:highlight w:val="none"/>
          <w:lang w:val="zh-CN"/>
        </w:rPr>
        <w:t>无备用屏柜。</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eastAsia="zh-CN"/>
        </w:rPr>
      </w:pPr>
      <w:r>
        <w:rPr>
          <w:rFonts w:hint="default" w:ascii="Times New Roman" w:hAnsi="Times New Roman" w:cs="Times New Roman"/>
          <w:snapToGrid w:val="0"/>
          <w:color w:val="auto"/>
          <w:kern w:val="21"/>
          <w:sz w:val="24"/>
          <w:szCs w:val="24"/>
          <w:highlight w:val="none"/>
          <w:lang w:val="zh-CN" w:eastAsia="zh-CN"/>
        </w:rPr>
        <w:t>本期扩增1面屏柜，安装消弧线圈控制屏。</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4.8.</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 xml:space="preserve">  电缆的选择、敷设、防火</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4.8.</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zh-CN"/>
        </w:rPr>
        <w:t>电缆选择</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电缆选择符合GB50217《电力工程电缆设计规范》的规定。</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4.8.</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zh-CN"/>
        </w:rPr>
        <w:t>电缆敷设</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电缆敷设符合GB50217《电力工程电缆设计规范》的规定。</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为增强抗干扰能力，室内强电和弱电线采用不同走线路径敷设。</w:t>
      </w:r>
    </w:p>
    <w:p>
      <w:pPr>
        <w:keepNext w:val="0"/>
        <w:keepLines w:val="0"/>
        <w:pageBreakBefore w:val="0"/>
        <w:kinsoku/>
        <w:wordWrap/>
        <w:overflowPunct/>
        <w:topLinePunct w:val="0"/>
        <w:autoSpaceDE/>
        <w:autoSpaceDN/>
        <w:bidi w:val="0"/>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4.8.</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.3</w:t>
      </w:r>
      <w:r>
        <w:rPr>
          <w:rFonts w:hint="default" w:ascii="Times New Roman" w:hAnsi="Times New Roman" w:cs="Times New Roman"/>
          <w:snapToGrid w:val="0"/>
          <w:color w:val="auto"/>
          <w:kern w:val="21"/>
          <w:sz w:val="24"/>
          <w:szCs w:val="24"/>
          <w:highlight w:val="none"/>
          <w:lang w:val="zh-CN"/>
        </w:rPr>
        <w:t>防火要求</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（1）</w:t>
      </w:r>
      <w:r>
        <w:rPr>
          <w:rFonts w:hint="default" w:ascii="Times New Roman" w:hAnsi="Times New Roman" w:cs="Times New Roman"/>
          <w:snapToGrid w:val="0"/>
          <w:color w:val="auto"/>
          <w:kern w:val="21"/>
          <w:sz w:val="24"/>
          <w:szCs w:val="24"/>
          <w:highlight w:val="none"/>
          <w:lang w:val="zh-CN"/>
        </w:rPr>
        <w:t>选用阻燃型电缆。</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zh-CN"/>
        </w:rPr>
        <w:t>电缆引至电气柜的开孔部位，实施防火封堵；</w:t>
      </w:r>
    </w:p>
    <w:p>
      <w:pPr>
        <w:keepNext w:val="0"/>
        <w:keepLines w:val="0"/>
        <w:pageBreakBefore w:val="0"/>
        <w:kinsoku/>
        <w:wordWrap/>
        <w:overflowPunct/>
        <w:topLinePunct w:val="0"/>
        <w:autoSpaceDE/>
        <w:autoSpaceDN/>
        <w:bidi w:val="0"/>
        <w:spacing w:line="460" w:lineRule="exact"/>
        <w:ind w:firstLine="480" w:firstLineChars="200"/>
        <w:rPr>
          <w:rFonts w:hint="default" w:ascii="Times New Roman" w:hAnsi="Times New Roman"/>
          <w:snapToGrid w:val="0"/>
          <w:color w:val="auto"/>
          <w:kern w:val="21"/>
          <w:highlight w:val="none"/>
          <w:lang w:val="zh-CN"/>
        </w:rPr>
      </w:pPr>
      <w:r>
        <w:rPr>
          <w:rFonts w:hint="default" w:ascii="Times New Roman" w:hAnsi="Times New Roman" w:cs="Times New Roman"/>
          <w:snapToGrid w:val="0"/>
          <w:color w:val="auto"/>
          <w:kern w:val="21"/>
          <w:sz w:val="24"/>
          <w:szCs w:val="24"/>
          <w:highlight w:val="none"/>
        </w:rPr>
        <w:t>（3）</w:t>
      </w:r>
      <w:r>
        <w:rPr>
          <w:rFonts w:hint="default" w:ascii="Times New Roman" w:hAnsi="Times New Roman" w:cs="Times New Roman"/>
          <w:snapToGrid w:val="0"/>
          <w:color w:val="auto"/>
          <w:kern w:val="21"/>
          <w:sz w:val="24"/>
          <w:szCs w:val="24"/>
          <w:highlight w:val="none"/>
          <w:lang w:val="zh-CN"/>
        </w:rPr>
        <w:t>至二次设备室的沟道入口、主电缆沟道适当分段处，设置防火墙。</w:t>
      </w:r>
    </w:p>
    <w:p>
      <w:pPr>
        <w:keepNext w:val="0"/>
        <w:keepLines w:val="0"/>
        <w:pageBreakBefore w:val="0"/>
        <w:kinsoku/>
        <w:wordWrap/>
        <w:overflowPunct/>
        <w:topLinePunct w:val="0"/>
        <w:autoSpaceDE/>
        <w:autoSpaceDN/>
        <w:bidi w:val="0"/>
        <w:spacing w:line="460" w:lineRule="exact"/>
        <w:ind w:firstLine="420" w:firstLineChars="200"/>
        <w:rPr>
          <w:rFonts w:hint="default" w:ascii="Times New Roman" w:hAnsi="Times New Roman"/>
          <w:snapToGrid w:val="0"/>
          <w:color w:val="auto"/>
          <w:kern w:val="21"/>
          <w:highlight w:val="none"/>
          <w:lang w:val="zh-CN"/>
        </w:rPr>
      </w:pPr>
    </w:p>
    <w:p>
      <w:pPr>
        <w:keepNext w:val="0"/>
        <w:keepLines w:val="0"/>
        <w:pageBreakBefore w:val="0"/>
        <w:kinsoku/>
        <w:wordWrap/>
        <w:overflowPunct/>
        <w:topLinePunct w:val="0"/>
        <w:autoSpaceDE/>
        <w:autoSpaceDN/>
        <w:bidi w:val="0"/>
        <w:adjustRightInd w:val="0"/>
        <w:snapToGrid w:val="0"/>
        <w:spacing w:line="460" w:lineRule="exact"/>
        <w:ind w:firstLine="420" w:firstLineChars="200"/>
        <w:textAlignment w:val="baseline"/>
        <w:rPr>
          <w:rFonts w:hint="default" w:ascii="Times New Roman" w:hAnsi="Times New Roman"/>
          <w:color w:val="auto"/>
          <w:kern w:val="4"/>
          <w:highlight w:val="none"/>
          <w:lang w:val="zh-CN"/>
        </w:rPr>
      </w:pPr>
    </w:p>
    <w:p>
      <w:pPr>
        <w:keepNext w:val="0"/>
        <w:keepLines w:val="0"/>
        <w:pageBreakBefore w:val="0"/>
        <w:widowControl/>
        <w:kinsoku/>
        <w:wordWrap/>
        <w:overflowPunct/>
        <w:topLinePunct w:val="0"/>
        <w:autoSpaceDE/>
        <w:autoSpaceDN/>
        <w:bidi w:val="0"/>
        <w:snapToGrid/>
        <w:spacing w:line="460" w:lineRule="exact"/>
        <w:ind w:right="249"/>
        <w:jc w:val="left"/>
        <w:textAlignment w:val="auto"/>
        <w:outlineLvl w:val="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br w:type="page"/>
      </w:r>
      <w:bookmarkEnd w:id="205"/>
      <w:bookmarkEnd w:id="206"/>
      <w:bookmarkEnd w:id="207"/>
      <w:bookmarkEnd w:id="208"/>
      <w:bookmarkEnd w:id="238"/>
      <w:bookmarkEnd w:id="239"/>
      <w:bookmarkEnd w:id="241"/>
      <w:bookmarkStart w:id="259" w:name="_Toc16269"/>
      <w:bookmarkStart w:id="260" w:name="_Toc296174741"/>
      <w:bookmarkStart w:id="261" w:name="_Toc256848364"/>
      <w:bookmarkStart w:id="262" w:name="_Toc257036291"/>
      <w:bookmarkStart w:id="263" w:name="_Toc16770"/>
      <w:r>
        <w:rPr>
          <w:rFonts w:hint="default" w:ascii="Times New Roman" w:hAnsi="Times New Roman" w:eastAsia="宋体" w:cs="Times New Roman"/>
          <w:b/>
          <w:color w:val="auto"/>
          <w:kern w:val="21"/>
          <w:sz w:val="24"/>
          <w:szCs w:val="24"/>
          <w:highlight w:val="none"/>
          <w:lang w:val="en-US" w:eastAsia="zh-CN"/>
        </w:rPr>
        <w:t>5  土建部分</w:t>
      </w:r>
      <w:bookmarkEnd w:id="259"/>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64" w:name="_Toc5275"/>
      <w:r>
        <w:rPr>
          <w:rFonts w:hint="default" w:ascii="Times New Roman" w:hAnsi="Times New Roman" w:cs="Times New Roman"/>
          <w:color w:val="auto"/>
          <w:kern w:val="21"/>
          <w:sz w:val="24"/>
          <w:szCs w:val="24"/>
          <w:highlight w:val="none"/>
        </w:rPr>
        <w:t>5.1  站区总布置及建设规模</w:t>
      </w:r>
      <w:bookmarkEnd w:id="264"/>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5.1.1  站区总平面布置</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bookmarkStart w:id="265" w:name="_Toc5759"/>
      <w:r>
        <w:rPr>
          <w:rFonts w:hint="default" w:ascii="Times New Roman" w:hAnsi="Times New Roman" w:cs="Times New Roman"/>
          <w:snapToGrid w:val="0"/>
          <w:color w:val="auto"/>
          <w:kern w:val="21"/>
          <w:sz w:val="24"/>
          <w:szCs w:val="24"/>
          <w:highlight w:val="none"/>
          <w:lang w:val="zh-CN"/>
        </w:rPr>
        <w:t>站址位于安阳市龙安区，</w:t>
      </w:r>
      <w:r>
        <w:rPr>
          <w:rFonts w:hint="default" w:ascii="Times New Roman" w:hAnsi="Times New Roman" w:cs="Times New Roman"/>
          <w:snapToGrid w:val="0"/>
          <w:color w:val="auto"/>
          <w:kern w:val="21"/>
          <w:sz w:val="24"/>
          <w:szCs w:val="24"/>
          <w:highlight w:val="none"/>
        </w:rPr>
        <w:t>岷山变位于岷山集团东侧，龙康大道北侧约600m。004乡道西侧约500m。区域地势较平坦，交通便利，路况良好，满足大件运输条件。</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zh-CN"/>
        </w:rPr>
        <w:t>变电站</w:t>
      </w:r>
      <w:r>
        <w:rPr>
          <w:rFonts w:hint="default" w:ascii="Times New Roman" w:hAnsi="Times New Roman" w:cs="Times New Roman"/>
          <w:snapToGrid w:val="0"/>
          <w:color w:val="auto"/>
          <w:kern w:val="21"/>
          <w:sz w:val="24"/>
          <w:szCs w:val="24"/>
          <w:highlight w:val="none"/>
        </w:rPr>
        <w:t>南北</w:t>
      </w:r>
      <w:r>
        <w:rPr>
          <w:rFonts w:hint="default" w:ascii="Times New Roman" w:hAnsi="Times New Roman" w:cs="Times New Roman"/>
          <w:snapToGrid w:val="0"/>
          <w:color w:val="auto"/>
          <w:kern w:val="21"/>
          <w:sz w:val="24"/>
          <w:szCs w:val="24"/>
          <w:highlight w:val="none"/>
          <w:lang w:val="zh-CN"/>
        </w:rPr>
        <w:t>长74.1m，</w:t>
      </w:r>
      <w:r>
        <w:rPr>
          <w:rFonts w:hint="default" w:ascii="Times New Roman" w:hAnsi="Times New Roman" w:cs="Times New Roman"/>
          <w:snapToGrid w:val="0"/>
          <w:color w:val="auto"/>
          <w:kern w:val="21"/>
          <w:sz w:val="24"/>
          <w:szCs w:val="24"/>
          <w:highlight w:val="none"/>
        </w:rPr>
        <w:t>东西</w:t>
      </w:r>
      <w:r>
        <w:rPr>
          <w:rFonts w:hint="default" w:ascii="Times New Roman" w:hAnsi="Times New Roman" w:cs="Times New Roman"/>
          <w:snapToGrid w:val="0"/>
          <w:color w:val="auto"/>
          <w:kern w:val="21"/>
          <w:sz w:val="24"/>
          <w:szCs w:val="24"/>
          <w:highlight w:val="none"/>
          <w:lang w:val="zh-CN"/>
        </w:rPr>
        <w:t>宽42m；站区围墙内占地面积0.3112</w:t>
      </w:r>
      <w:r>
        <w:rPr>
          <w:rFonts w:hint="default" w:ascii="Times New Roman" w:hAnsi="Times New Roman" w:cs="Times New Roman"/>
          <w:snapToGrid w:val="0"/>
          <w:color w:val="auto"/>
          <w:kern w:val="21"/>
          <w:sz w:val="24"/>
          <w:szCs w:val="24"/>
          <w:highlight w:val="none"/>
        </w:rPr>
        <w:t>h</w:t>
      </w:r>
      <w:r>
        <w:rPr>
          <w:rFonts w:hint="default" w:ascii="Times New Roman" w:hAnsi="Times New Roman" w:cs="Times New Roman"/>
          <w:snapToGrid w:val="0"/>
          <w:color w:val="auto"/>
          <w:kern w:val="21"/>
          <w:sz w:val="24"/>
          <w:szCs w:val="24"/>
          <w:highlight w:val="none"/>
          <w:lang w:val="zh-CN"/>
        </w:rPr>
        <w:t>m</w:t>
      </w:r>
      <w:r>
        <w:rPr>
          <w:rFonts w:hint="default" w:ascii="Times New Roman" w:hAnsi="Times New Roman" w:cs="Times New Roman"/>
          <w:snapToGrid w:val="0"/>
          <w:color w:val="auto"/>
          <w:kern w:val="21"/>
          <w:sz w:val="24"/>
          <w:szCs w:val="24"/>
          <w:highlight w:val="none"/>
          <w:vertAlign w:val="superscript"/>
          <w:lang w:val="zh-CN"/>
        </w:rPr>
        <w:t>2</w:t>
      </w:r>
      <w:r>
        <w:rPr>
          <w:rFonts w:hint="default" w:ascii="Times New Roman" w:hAnsi="Times New Roman" w:cs="Times New Roman"/>
          <w:snapToGrid w:val="0"/>
          <w:color w:val="auto"/>
          <w:kern w:val="21"/>
          <w:sz w:val="24"/>
          <w:szCs w:val="24"/>
          <w:highlight w:val="none"/>
        </w:rPr>
        <w:t>。</w:t>
      </w:r>
      <w:r>
        <w:rPr>
          <w:rFonts w:hint="default" w:ascii="Times New Roman" w:hAnsi="Times New Roman" w:cs="Times New Roman"/>
          <w:snapToGrid w:val="0"/>
          <w:color w:val="auto"/>
          <w:kern w:val="21"/>
          <w:sz w:val="24"/>
          <w:szCs w:val="24"/>
          <w:highlight w:val="none"/>
          <w:lang w:val="zh-CN"/>
        </w:rPr>
        <w:t>站区从北向南依次布置110kV配电装置区、主变压器、配电装置室；110kV向北出线；全站道路为H型布置，站区大门设在站区西围墙中部，进站道路从西侧厂区道路引接。</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现状：配电装置室、主变构架、1号、2号主变及公共设施已建成。</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val="zh-CN"/>
        </w:rPr>
        <w:t>变电站征地已按最终规模完成。本期结合电网规划与负荷特性进行变电站主变增容。</w:t>
      </w:r>
    </w:p>
    <w:p>
      <w:pPr>
        <w:keepNext w:val="0"/>
        <w:keepLines w:val="0"/>
        <w:pageBreakBefore w:val="0"/>
        <w:widowControl/>
        <w:kinsoku/>
        <w:wordWrap/>
        <w:overflowPunct/>
        <w:topLinePunct w:val="0"/>
        <w:autoSpaceDE/>
        <w:autoSpaceDN/>
        <w:bidi w:val="0"/>
        <w:snapToGrid/>
        <w:spacing w:line="460" w:lineRule="exact"/>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5.1.2  本期建设规模</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zh-CN"/>
        </w:rPr>
        <w:t>）</w:t>
      </w:r>
      <w:r>
        <w:rPr>
          <w:rFonts w:hint="default" w:ascii="Times New Roman" w:hAnsi="Times New Roman" w:cs="Times New Roman"/>
          <w:color w:val="auto"/>
          <w:kern w:val="21"/>
          <w:sz w:val="24"/>
          <w:szCs w:val="24"/>
          <w:highlight w:val="none"/>
        </w:rPr>
        <w:t>本期工程包含以下内容：</w:t>
      </w:r>
      <w:r>
        <w:rPr>
          <w:rFonts w:hint="default" w:ascii="Times New Roman" w:hAnsi="Times New Roman" w:cs="Times New Roman"/>
          <w:color w:val="auto"/>
          <w:kern w:val="21"/>
          <w:sz w:val="24"/>
          <w:szCs w:val="24"/>
          <w:highlight w:val="none"/>
          <w:lang w:val="zh-CN"/>
        </w:rPr>
        <w:t>拆除主变油池1座（变压器外形尺寸增加，油池不满足《变电站建筑结构设计技术规程》10.3.2条要求）；拆除端子箱基础1座，拆除母线桥支架横梁，拆除电流互感器1组，拆除部分场地面；新建主变油池1座，新建电容器组1座，新建母线桥支架横梁，新建电流互感器1组，新建消防沙坑1座，新建消弧线圈1座，相应场平恢复。</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（2）配电装置室、站区道路、站区给排水系统均已完成，本期不考虑。</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（3）主要技术经济指标表</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方案的技术经济指标表见表5-1。</w:t>
      </w:r>
    </w:p>
    <w:p>
      <w:pPr>
        <w:keepNext w:val="0"/>
        <w:keepLines w:val="0"/>
        <w:pageBreakBefore w:val="0"/>
        <w:kinsoku/>
        <w:wordWrap/>
        <w:overflowPunct/>
        <w:topLinePunct w:val="0"/>
        <w:autoSpaceDE/>
        <w:autoSpaceDN/>
        <w:bidi w:val="0"/>
        <w:snapToGrid/>
        <w:spacing w:line="460" w:lineRule="exact"/>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表5-1站区主要技术经济指标表</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42"/>
        <w:gridCol w:w="2087"/>
        <w:gridCol w:w="907"/>
        <w:gridCol w:w="1316"/>
        <w:gridCol w:w="2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序号</w:t>
            </w:r>
          </w:p>
        </w:tc>
        <w:tc>
          <w:tcPr>
            <w:tcW w:w="4129" w:type="dxa"/>
            <w:gridSpan w:val="2"/>
            <w:tcBorders>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指标名称</w:t>
            </w:r>
          </w:p>
        </w:tc>
        <w:tc>
          <w:tcPr>
            <w:tcW w:w="907" w:type="dxa"/>
            <w:tcBorders>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单位</w:t>
            </w:r>
          </w:p>
        </w:tc>
        <w:tc>
          <w:tcPr>
            <w:tcW w:w="1316" w:type="dxa"/>
            <w:tcBorders>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数量</w:t>
            </w:r>
          </w:p>
        </w:tc>
        <w:tc>
          <w:tcPr>
            <w:tcW w:w="2257" w:type="dxa"/>
            <w:tcBorders>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变电站总用地面积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hm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0.3348</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1.1</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围墙内占地面积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hm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0.3112</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1.2</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进站道路占地面积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hm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0.006</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1.3</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边坡挡墙占地面积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hm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1.4</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其他占地面积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hm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进站道路长度（新建/改造）</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w:t>
            </w:r>
          </w:p>
        </w:tc>
        <w:tc>
          <w:tcPr>
            <w:tcW w:w="2042"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变电站总土石方工作量</w:t>
            </w: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挖方</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42"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填方</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3.1</w:t>
            </w:r>
          </w:p>
        </w:tc>
        <w:tc>
          <w:tcPr>
            <w:tcW w:w="2042"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站区土石方工程量</w:t>
            </w: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挖方</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42"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填方</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3.2</w:t>
            </w:r>
          </w:p>
        </w:tc>
        <w:tc>
          <w:tcPr>
            <w:tcW w:w="2042"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进站道路土石方工程量</w:t>
            </w: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挖方</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42"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填方</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3.3</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外购土工程量</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3.4</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外弃土工程量</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lang w:eastAsia="zh-CN"/>
              </w:rPr>
              <w:t>95</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围墙长度（新建/改造）</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挡土墙体积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m³</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6</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护坡面积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站内道路面积（新建/改造）</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8</w:t>
            </w:r>
          </w:p>
        </w:tc>
        <w:tc>
          <w:tcPr>
            <w:tcW w:w="4129" w:type="dxa"/>
            <w:gridSpan w:val="2"/>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户外场地碎石（或铺砌、绝缘）地面面积</w:t>
            </w:r>
          </w:p>
        </w:tc>
        <w:tc>
          <w:tcPr>
            <w:tcW w:w="90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60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9</w:t>
            </w:r>
          </w:p>
        </w:tc>
        <w:tc>
          <w:tcPr>
            <w:tcW w:w="2042"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电缆沟长（宽度600mm以上）</w:t>
            </w: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1000×1000(拆除/新建)</w:t>
            </w:r>
          </w:p>
        </w:tc>
        <w:tc>
          <w:tcPr>
            <w:tcW w:w="907" w:type="dxa"/>
            <w:vMerge w:val="restart"/>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42"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800×800(拆除/新建)</w:t>
            </w:r>
          </w:p>
        </w:tc>
        <w:tc>
          <w:tcPr>
            <w:tcW w:w="907"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42"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208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600×600(拆除/新建)</w:t>
            </w:r>
          </w:p>
        </w:tc>
        <w:tc>
          <w:tcPr>
            <w:tcW w:w="907" w:type="dxa"/>
            <w:vMerge w:val="continue"/>
            <w:tcBorders>
              <w:top w:val="single" w:color="auto" w:sz="4" w:space="0"/>
              <w:bottom w:val="single" w:color="auto" w:sz="4" w:space="0"/>
            </w:tcBorders>
            <w:noWrap w:val="0"/>
            <w:vAlign w:val="center"/>
          </w:tcPr>
          <w:p>
            <w:pPr>
              <w:jc w:val="center"/>
              <w:rPr>
                <w:rFonts w:hint="default" w:ascii="Times New Roman" w:hAnsi="Times New Roman" w:cs="Times New Roman"/>
                <w:snapToGrid w:val="0"/>
                <w:color w:val="auto"/>
                <w:kern w:val="21"/>
                <w:sz w:val="24"/>
                <w:szCs w:val="24"/>
                <w:highlight w:val="none"/>
              </w:rPr>
            </w:pPr>
          </w:p>
        </w:tc>
        <w:tc>
          <w:tcPr>
            <w:tcW w:w="1316"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0/0</w:t>
            </w:r>
          </w:p>
        </w:tc>
        <w:tc>
          <w:tcPr>
            <w:tcW w:w="2257" w:type="dxa"/>
            <w:tcBorders>
              <w:top w:val="single" w:color="auto" w:sz="4" w:space="0"/>
              <w:bottom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6" w:type="dxa"/>
            <w:tcBorders>
              <w:top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10</w:t>
            </w:r>
          </w:p>
        </w:tc>
        <w:tc>
          <w:tcPr>
            <w:tcW w:w="4129" w:type="dxa"/>
            <w:gridSpan w:val="2"/>
            <w:tcBorders>
              <w:top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站区总建筑面积</w:t>
            </w:r>
          </w:p>
        </w:tc>
        <w:tc>
          <w:tcPr>
            <w:tcW w:w="907" w:type="dxa"/>
            <w:tcBorders>
              <w:top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m</w:t>
            </w:r>
            <w:r>
              <w:rPr>
                <w:rFonts w:hint="default" w:ascii="Times New Roman" w:hAnsi="Times New Roman" w:cs="Times New Roman"/>
                <w:snapToGrid w:val="0"/>
                <w:color w:val="auto"/>
                <w:kern w:val="21"/>
                <w:sz w:val="24"/>
                <w:szCs w:val="24"/>
                <w:highlight w:val="none"/>
                <w:vertAlign w:val="superscript"/>
              </w:rPr>
              <w:t>2</w:t>
            </w:r>
          </w:p>
        </w:tc>
        <w:tc>
          <w:tcPr>
            <w:tcW w:w="1316" w:type="dxa"/>
            <w:tcBorders>
              <w:top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464.6</w:t>
            </w:r>
          </w:p>
        </w:tc>
        <w:tc>
          <w:tcPr>
            <w:tcW w:w="2257" w:type="dxa"/>
            <w:tcBorders>
              <w:top w:val="single" w:color="auto" w:sz="4" w:space="0"/>
            </w:tcBorders>
            <w:noWrap w:val="0"/>
            <w:vAlign w:val="top"/>
          </w:tcPr>
          <w:p>
            <w:pPr>
              <w:jc w:val="center"/>
              <w:rPr>
                <w:rFonts w:hint="default" w:ascii="Times New Roman" w:hAnsi="Times New Roman" w:cs="Times New Roman"/>
                <w:snapToGrid w:val="0"/>
                <w:color w:val="auto"/>
                <w:kern w:val="21"/>
                <w:sz w:val="24"/>
                <w:szCs w:val="24"/>
                <w:highlight w:val="none"/>
              </w:rPr>
            </w:pPr>
          </w:p>
        </w:tc>
      </w:tr>
    </w:tbl>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lang w:val="zh-CN"/>
        </w:rPr>
      </w:pPr>
      <w:bookmarkStart w:id="266" w:name="_Toc6368"/>
      <w:r>
        <w:rPr>
          <w:rFonts w:hint="default" w:ascii="Times New Roman" w:hAnsi="Times New Roman" w:cs="Times New Roman"/>
          <w:color w:val="auto"/>
          <w:kern w:val="21"/>
          <w:sz w:val="24"/>
          <w:szCs w:val="24"/>
          <w:highlight w:val="none"/>
          <w:lang w:val="zh-CN"/>
        </w:rPr>
        <w:t>5.2  建筑</w:t>
      </w:r>
      <w:bookmarkEnd w:id="266"/>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配电装置楼已建成，本期主控室新增一面屏柜，需拆除新建静电地板2m²。</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67" w:name="_Toc26167"/>
      <w:r>
        <w:rPr>
          <w:rFonts w:hint="default" w:ascii="Times New Roman" w:hAnsi="Times New Roman" w:cs="Times New Roman"/>
          <w:color w:val="auto"/>
          <w:kern w:val="21"/>
          <w:sz w:val="24"/>
          <w:szCs w:val="24"/>
          <w:highlight w:val="none"/>
        </w:rPr>
        <w:t>5.3  结构</w:t>
      </w:r>
      <w:bookmarkEnd w:id="267"/>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5.3.1  </w:t>
      </w:r>
      <w:r>
        <w:rPr>
          <w:rFonts w:hint="default" w:ascii="Times New Roman" w:hAnsi="Times New Roman" w:cs="Times New Roman"/>
          <w:color w:val="auto"/>
          <w:kern w:val="21"/>
          <w:sz w:val="24"/>
          <w:szCs w:val="24"/>
          <w:highlight w:val="none"/>
        </w:rPr>
        <w:t>设计主要技术依据</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5.3.1.1</w:t>
      </w:r>
      <w:r>
        <w:rPr>
          <w:rFonts w:hint="default" w:ascii="Times New Roman" w:hAnsi="Times New Roman" w:cs="Times New Roman"/>
          <w:color w:val="auto"/>
          <w:kern w:val="21"/>
          <w:sz w:val="24"/>
          <w:szCs w:val="24"/>
          <w:highlight w:val="none"/>
        </w:rPr>
        <w:t>岩土工程地质及水文资料</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（1）场地稳定性</w:t>
      </w:r>
    </w:p>
    <w:p>
      <w:pPr>
        <w:keepNext w:val="0"/>
        <w:keepLines w:val="0"/>
        <w:pageBreakBefore w:val="0"/>
        <w:kinsoku/>
        <w:wordWrap/>
        <w:overflowPunct/>
        <w:topLinePunct w:val="0"/>
        <w:autoSpaceDE/>
        <w:autoSpaceDN/>
        <w:bidi w:val="0"/>
        <w:snapToGrid/>
        <w:spacing w:line="460" w:lineRule="exact"/>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kern w:val="21"/>
          <w:sz w:val="24"/>
          <w:szCs w:val="24"/>
          <w:highlight w:val="none"/>
        </w:rPr>
        <w:t>本工程在站内增容，平坦无斜坡。场地内不存在对工程安全有影响的暗藏的河道、沟浜、孤石、地下采空区等不良地质现象。</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（2）工程地质</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a.地形地貌特征</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根据区域地质资料，地貌单元属低山丘陵地貌。</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b.岩土地层构成及特征</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根据一期工程勘察报告，基础埋深在1.5m以下，在12.0m的勘探深度范围内，地层由上部素填土（Q</w:t>
      </w:r>
      <w:r>
        <w:rPr>
          <w:rFonts w:hint="default" w:ascii="Times New Roman" w:hAnsi="Times New Roman" w:cs="Times New Roman"/>
          <w:snapToGrid w:val="0"/>
          <w:color w:val="auto"/>
          <w:kern w:val="21"/>
          <w:sz w:val="24"/>
          <w:szCs w:val="24"/>
          <w:highlight w:val="none"/>
          <w:vertAlign w:val="subscript"/>
          <w:lang w:val="zh-CN"/>
        </w:rPr>
        <w:t>4</w:t>
      </w:r>
      <w:r>
        <w:rPr>
          <w:rFonts w:hint="default" w:ascii="Times New Roman" w:hAnsi="Times New Roman" w:cs="Times New Roman"/>
          <w:snapToGrid w:val="0"/>
          <w:color w:val="auto"/>
          <w:kern w:val="21"/>
          <w:sz w:val="24"/>
          <w:szCs w:val="24"/>
          <w:highlight w:val="none"/>
          <w:vertAlign w:val="superscript"/>
          <w:lang w:val="zh-CN"/>
        </w:rPr>
        <w:t>ml</w:t>
      </w:r>
      <w:r>
        <w:rPr>
          <w:rFonts w:hint="default" w:ascii="Times New Roman" w:hAnsi="Times New Roman" w:cs="Times New Roman"/>
          <w:snapToGrid w:val="0"/>
          <w:color w:val="auto"/>
          <w:kern w:val="21"/>
          <w:sz w:val="24"/>
          <w:szCs w:val="24"/>
          <w:highlight w:val="none"/>
          <w:lang w:val="zh-CN"/>
        </w:rPr>
        <w:t>）和下部上第三系泥岩（N</w:t>
      </w:r>
      <w:r>
        <w:rPr>
          <w:rFonts w:hint="default" w:ascii="Times New Roman" w:hAnsi="Times New Roman" w:cs="Times New Roman"/>
          <w:snapToGrid w:val="0"/>
          <w:color w:val="auto"/>
          <w:kern w:val="21"/>
          <w:sz w:val="24"/>
          <w:szCs w:val="24"/>
          <w:highlight w:val="none"/>
          <w:vertAlign w:val="subscript"/>
          <w:lang w:val="zh-CN"/>
        </w:rPr>
        <w:t>2</w:t>
      </w:r>
      <w:r>
        <w:rPr>
          <w:rFonts w:hint="default" w:ascii="Times New Roman" w:hAnsi="Times New Roman" w:cs="Times New Roman"/>
          <w:snapToGrid w:val="0"/>
          <w:color w:val="auto"/>
          <w:kern w:val="21"/>
          <w:sz w:val="24"/>
          <w:szCs w:val="24"/>
          <w:highlight w:val="none"/>
          <w:lang w:val="zh-CN"/>
        </w:rPr>
        <w:t xml:space="preserve">）所组成。根据不同时代、成因类型和岩土工程地质性能，将地层划分为二个岩土工程地质单元，自上而下分别叙述如下：   </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 xml:space="preserve">  （1）素填土单元(Q</w:t>
      </w:r>
      <w:r>
        <w:rPr>
          <w:rFonts w:hint="default" w:ascii="Times New Roman" w:hAnsi="Times New Roman" w:cs="Times New Roman"/>
          <w:snapToGrid w:val="0"/>
          <w:color w:val="auto"/>
          <w:kern w:val="21"/>
          <w:sz w:val="24"/>
          <w:szCs w:val="24"/>
          <w:highlight w:val="none"/>
          <w:vertAlign w:val="subscript"/>
          <w:lang w:val="zh-CN"/>
        </w:rPr>
        <w:t>4</w:t>
      </w:r>
      <w:r>
        <w:rPr>
          <w:rFonts w:hint="default" w:ascii="Times New Roman" w:hAnsi="Times New Roman" w:cs="Times New Roman"/>
          <w:color w:val="auto"/>
          <w:sz w:val="24"/>
          <w:szCs w:val="24"/>
          <w:highlight w:val="none"/>
          <w:vertAlign w:val="superscript"/>
          <w:lang w:val="zh-CN"/>
        </w:rPr>
        <w:t>ml</w:t>
      </w:r>
      <w:r>
        <w:rPr>
          <w:rFonts w:hint="default" w:ascii="Times New Roman" w:hAnsi="Times New Roman" w:cs="Times New Roman"/>
          <w:snapToGrid w:val="0"/>
          <w:color w:val="auto"/>
          <w:kern w:val="21"/>
          <w:sz w:val="24"/>
          <w:szCs w:val="24"/>
          <w:highlight w:val="none"/>
          <w:lang w:val="zh-CN"/>
        </w:rPr>
        <w:t>)</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素填土，以黄～暗黄色粉质粘土为主，硬塑状态，无摇震反应，稍有光泽，干强度、韧性中等；含少量植物根和木炭屑。本单元层底埋深0.8～1.3m，平均厚度1.0m。</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 xml:space="preserve"> （2）泥岩单元(N)</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 xml:space="preserve">灰黄色、乳白色，泥岩，固结程度好，泥质结构，块状结构；汉10%～20%的乳白色钙质结核。局部夹薄层砾岩，厚度约30cm。本层岩芯采取率为85%，RQD为75，岩石质量指标属较好的，本单元土体的自由膨胀率为52%，具有弱膨胀潜势。本层未揭穿，层底埋深12m以下。    </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结合本地建筑经验，综合分析后提供各层土的承载力特征值建议值及土壤电阻率，见表</w:t>
      </w:r>
      <w:r>
        <w:rPr>
          <w:rFonts w:hint="default" w:ascii="Times New Roman" w:hAnsi="Times New Roman" w:cs="Times New Roman"/>
          <w:snapToGrid w:val="0"/>
          <w:color w:val="auto"/>
          <w:kern w:val="21"/>
          <w:sz w:val="24"/>
          <w:szCs w:val="24"/>
          <w:highlight w:val="none"/>
        </w:rPr>
        <w:t>5</w:t>
      </w:r>
      <w:r>
        <w:rPr>
          <w:rFonts w:hint="default" w:ascii="Times New Roman" w:hAnsi="Times New Roman" w:cs="Times New Roman"/>
          <w:snapToGrid w:val="0"/>
          <w:color w:val="auto"/>
          <w:kern w:val="21"/>
          <w:sz w:val="24"/>
          <w:szCs w:val="24"/>
          <w:highlight w:val="none"/>
          <w:lang w:val="zh-CN"/>
        </w:rPr>
        <w:t>-2。</w:t>
      </w:r>
    </w:p>
    <w:p>
      <w:pPr>
        <w:keepNext w:val="0"/>
        <w:keepLines w:val="0"/>
        <w:pageBreakBefore w:val="0"/>
        <w:kinsoku/>
        <w:wordWrap/>
        <w:overflowPunct/>
        <w:topLinePunct w:val="0"/>
        <w:autoSpaceDE/>
        <w:autoSpaceDN/>
        <w:bidi w:val="0"/>
        <w:adjustRightInd w:val="0"/>
        <w:snapToGrid/>
        <w:spacing w:line="460" w:lineRule="exact"/>
        <w:jc w:val="center"/>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表5-</w:t>
      </w:r>
      <w:r>
        <w:rPr>
          <w:rFonts w:hint="default" w:ascii="Times New Roman" w:hAnsi="Times New Roman" w:cs="Times New Roman"/>
          <w:snapToGrid w:val="0"/>
          <w:color w:val="auto"/>
          <w:kern w:val="21"/>
          <w:sz w:val="24"/>
          <w:szCs w:val="24"/>
          <w:highlight w:val="none"/>
        </w:rPr>
        <w:t>2</w:t>
      </w:r>
      <w:r>
        <w:rPr>
          <w:rFonts w:hint="default" w:ascii="Times New Roman" w:hAnsi="Times New Roman" w:cs="Times New Roman"/>
          <w:snapToGrid w:val="0"/>
          <w:color w:val="auto"/>
          <w:kern w:val="21"/>
          <w:sz w:val="24"/>
          <w:szCs w:val="24"/>
          <w:highlight w:val="none"/>
          <w:lang w:val="zh-CN"/>
        </w:rPr>
        <w:t xml:space="preserve">    各单元地基土承载力特征值建议值及土壤电阻率表</w:t>
      </w:r>
    </w:p>
    <w:tbl>
      <w:tblPr>
        <w:tblStyle w:val="50"/>
        <w:tblpPr w:leftFromText="180" w:rightFromText="180" w:vertAnchor="text" w:horzAnchor="page" w:tblpX="2467" w:tblpY="162"/>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2236"/>
        <w:gridCol w:w="2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292" w:type="dxa"/>
            <w:tcBorders>
              <w:bottom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层别</w:t>
            </w:r>
          </w:p>
        </w:tc>
        <w:tc>
          <w:tcPr>
            <w:tcW w:w="2236" w:type="dxa"/>
            <w:tcBorders>
              <w:bottom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⑴</w:t>
            </w:r>
          </w:p>
        </w:tc>
        <w:tc>
          <w:tcPr>
            <w:tcW w:w="2659" w:type="dxa"/>
            <w:tcBorders>
              <w:bottom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292"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fak（kPa）</w:t>
            </w:r>
          </w:p>
        </w:tc>
        <w:tc>
          <w:tcPr>
            <w:tcW w:w="2236"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100</w:t>
            </w:r>
          </w:p>
        </w:tc>
        <w:tc>
          <w:tcPr>
            <w:tcW w:w="2659" w:type="dxa"/>
            <w:tcBorders>
              <w:top w:val="single" w:color="auto" w:sz="4" w:space="0"/>
              <w:bottom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292" w:type="dxa"/>
            <w:tcBorders>
              <w:top w:val="single" w:color="auto" w:sz="4" w:space="0"/>
            </w:tcBorders>
            <w:noWrap w:val="0"/>
            <w:vAlign w:val="center"/>
          </w:tcPr>
          <w:p>
            <w:pPr>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ρ（Ω·m）</w:t>
            </w:r>
          </w:p>
        </w:tc>
        <w:tc>
          <w:tcPr>
            <w:tcW w:w="2236" w:type="dxa"/>
            <w:tcBorders>
              <w:top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cs="Times New Roman"/>
                <w:color w:val="auto"/>
                <w:kern w:val="21"/>
                <w:sz w:val="24"/>
                <w:szCs w:val="24"/>
                <w:highlight w:val="none"/>
                <w:lang w:eastAsia="zh-CN"/>
              </w:rPr>
              <w:t>100</w:t>
            </w:r>
          </w:p>
        </w:tc>
        <w:tc>
          <w:tcPr>
            <w:tcW w:w="2659" w:type="dxa"/>
            <w:tcBorders>
              <w:top w:val="single" w:color="auto" w:sz="4" w:space="0"/>
            </w:tcBorders>
            <w:noWrap w:val="0"/>
            <w:vAlign w:val="center"/>
          </w:tcPr>
          <w:p>
            <w:pPr>
              <w:jc w:val="center"/>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cs="Times New Roman"/>
                <w:color w:val="auto"/>
                <w:kern w:val="21"/>
                <w:sz w:val="24"/>
                <w:szCs w:val="24"/>
                <w:highlight w:val="none"/>
                <w:lang w:eastAsia="zh-CN"/>
              </w:rPr>
              <w:t>400</w:t>
            </w:r>
          </w:p>
        </w:tc>
      </w:tr>
    </w:tbl>
    <w:p>
      <w:pPr>
        <w:ind w:firstLine="570"/>
        <w:jc w:val="left"/>
        <w:textAlignment w:val="baseline"/>
        <w:rPr>
          <w:rFonts w:hint="default" w:ascii="Times New Roman" w:hAnsi="Times New Roman" w:cs="Times New Roman"/>
          <w:color w:val="auto"/>
          <w:sz w:val="24"/>
          <w:szCs w:val="24"/>
          <w:highlight w:val="none"/>
        </w:rPr>
      </w:pPr>
    </w:p>
    <w:p>
      <w:pPr>
        <w:ind w:firstLine="570"/>
        <w:jc w:val="left"/>
        <w:textAlignment w:val="baseline"/>
        <w:rPr>
          <w:rFonts w:hint="default" w:ascii="Times New Roman" w:hAnsi="Times New Roman" w:cs="Times New Roman"/>
          <w:color w:val="auto"/>
          <w:sz w:val="24"/>
          <w:szCs w:val="24"/>
          <w:highlight w:val="none"/>
        </w:rPr>
      </w:pPr>
    </w:p>
    <w:p>
      <w:pPr>
        <w:jc w:val="left"/>
        <w:textAlignment w:val="baseline"/>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snapToGrid/>
        <w:ind w:firstLine="570"/>
        <w:jc w:val="left"/>
        <w:textAlignment w:val="baseline"/>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snapToGrid/>
        <w:spacing w:line="460" w:lineRule="exact"/>
        <w:ind w:firstLine="570"/>
        <w:jc w:val="left"/>
        <w:textAlignment w:val="baseline"/>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根据《建筑抗震设计规范》（GB50011～2010</w:t>
      </w:r>
      <w:r>
        <w:rPr>
          <w:rFonts w:hint="default" w:ascii="Times New Roman" w:hAnsi="Times New Roman" w:cs="Times New Roman"/>
          <w:color w:val="auto"/>
          <w:sz w:val="24"/>
          <w:szCs w:val="24"/>
          <w:highlight w:val="none"/>
          <w:lang w:val="zh-CN"/>
        </w:rPr>
        <w:t>，2016年版</w:t>
      </w:r>
      <w:r>
        <w:rPr>
          <w:rFonts w:hint="default" w:ascii="Times New Roman" w:hAnsi="Times New Roman" w:cs="Times New Roman"/>
          <w:color w:val="auto"/>
          <w:sz w:val="24"/>
          <w:szCs w:val="24"/>
          <w:highlight w:val="none"/>
        </w:rPr>
        <w:t>）附录A有关规定，本勘探区抗震设防烈度为8度，设计地震分组为第一组，设计基本地震加速度值0.2g，设计特征周期为0.35S。</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lang w:val="zh-CN"/>
        </w:rPr>
        <w:t>（3）水文气象</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站址位于安阳市境内。处于河南省北部，属大陆性季风气候，为暖温带半干旱半湿润气候区。其四季分明具有冬长寒冷雨雪少，春短干旱风日多，夏季炎热雨集中，秋季晴和日照长的特点。</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根据该站多年实测的长系列资料，统计得出各气象参数见表5-3。</w:t>
      </w:r>
    </w:p>
    <w:p>
      <w:pPr>
        <w:keepNext w:val="0"/>
        <w:keepLines w:val="0"/>
        <w:pageBreakBefore w:val="0"/>
        <w:widowControl w:val="0"/>
        <w:kinsoku/>
        <w:wordWrap/>
        <w:overflowPunct/>
        <w:topLinePunct w:val="0"/>
        <w:autoSpaceDE/>
        <w:autoSpaceDN/>
        <w:bidi w:val="0"/>
        <w:adjustRightInd w:val="0"/>
        <w:snapToGrid/>
        <w:spacing w:line="460" w:lineRule="exact"/>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表5-3  安阳市气象站气象特征值成果表</w:t>
      </w:r>
    </w:p>
    <w:tbl>
      <w:tblPr>
        <w:tblStyle w:val="5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87"/>
        <w:gridCol w:w="2706"/>
        <w:gridCol w:w="1688"/>
        <w:gridCol w:w="1688"/>
        <w:gridCol w:w="16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bottom w:val="single" w:color="auto" w:sz="4" w:space="0"/>
            </w:tcBorders>
            <w:noWrap w:val="0"/>
            <w:vAlign w:val="center"/>
          </w:tcPr>
          <w:p>
            <w:pPr>
              <w:spacing w:line="4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544" w:type="pct"/>
            <w:tcBorders>
              <w:bottom w:val="single" w:color="auto" w:sz="4" w:space="0"/>
            </w:tcBorders>
            <w:noWrap w:val="0"/>
            <w:vAlign w:val="center"/>
          </w:tcPr>
          <w:p>
            <w:pPr>
              <w:spacing w:line="4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    目</w:t>
            </w:r>
          </w:p>
        </w:tc>
        <w:tc>
          <w:tcPr>
            <w:tcW w:w="963" w:type="pct"/>
            <w:tcBorders>
              <w:bottom w:val="single" w:color="auto" w:sz="4" w:space="0"/>
            </w:tcBorders>
            <w:noWrap w:val="0"/>
            <w:vAlign w:val="center"/>
          </w:tcPr>
          <w:p>
            <w:pPr>
              <w:spacing w:line="4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 位</w:t>
            </w:r>
          </w:p>
        </w:tc>
        <w:tc>
          <w:tcPr>
            <w:tcW w:w="963" w:type="pct"/>
            <w:tcBorders>
              <w:bottom w:val="single" w:color="auto" w:sz="4" w:space="0"/>
            </w:tcBorders>
            <w:noWrap w:val="0"/>
            <w:vAlign w:val="center"/>
          </w:tcPr>
          <w:p>
            <w:pPr>
              <w:spacing w:line="4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 值</w:t>
            </w:r>
          </w:p>
        </w:tc>
        <w:tc>
          <w:tcPr>
            <w:tcW w:w="963" w:type="pct"/>
            <w:tcBorders>
              <w:bottom w:val="single" w:color="auto" w:sz="4" w:space="0"/>
            </w:tcBorders>
            <w:noWrap w:val="0"/>
            <w:vAlign w:val="center"/>
          </w:tcPr>
          <w:p>
            <w:pPr>
              <w:spacing w:line="4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出现时间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多年平均气温</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13.</w:t>
            </w:r>
            <w:r>
              <w:rPr>
                <w:rFonts w:hint="default" w:ascii="Times New Roman" w:hAnsi="Times New Roman" w:cs="Times New Roman"/>
                <w:color w:val="auto"/>
                <w:sz w:val="24"/>
                <w:szCs w:val="24"/>
                <w:highlight w:val="none"/>
                <w:lang w:val="en-US" w:eastAsia="zh-CN"/>
              </w:rPr>
              <w:t>7</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多年平均气压</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hPa</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1007.5</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多年平均风速</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m/s</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多年平均降水量</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mm</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559.3</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多年平均相对湿度</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66</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历年极端最高气温</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2012.7.23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历年极端最低温度</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1951.1.12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历年定时最大风速</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m/s</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27</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1973.11.7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历年最大积雪深度</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cm</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1971.12.24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c>
          <w:tcPr>
            <w:tcW w:w="1544"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历年最大冻土厚度</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cm</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40</w:t>
            </w:r>
          </w:p>
        </w:tc>
        <w:tc>
          <w:tcPr>
            <w:tcW w:w="963" w:type="pct"/>
            <w:tcBorders>
              <w:top w:val="single" w:color="auto" w:sz="4" w:space="0"/>
              <w:bottom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1977.1.17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64" w:type="pct"/>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w:t>
            </w:r>
          </w:p>
        </w:tc>
        <w:tc>
          <w:tcPr>
            <w:tcW w:w="1544" w:type="pct"/>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最大一日降水量</w:t>
            </w:r>
          </w:p>
        </w:tc>
        <w:tc>
          <w:tcPr>
            <w:tcW w:w="963" w:type="pct"/>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mm</w:t>
            </w:r>
          </w:p>
        </w:tc>
        <w:tc>
          <w:tcPr>
            <w:tcW w:w="963" w:type="pct"/>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180.5</w:t>
            </w:r>
          </w:p>
        </w:tc>
        <w:tc>
          <w:tcPr>
            <w:tcW w:w="963" w:type="pct"/>
            <w:tcBorders>
              <w:top w:val="single" w:color="auto" w:sz="4" w:space="0"/>
            </w:tcBorders>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1963.8.8</w:t>
            </w:r>
          </w:p>
        </w:tc>
      </w:tr>
    </w:tbl>
    <w:p>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根据当地气象资料，本场地土的标准冻结深度为0.4m。</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5.3.2  建筑、构筑物结构</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站内生产建筑物一期已建设完成。</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5.3.3  屋外配电装置构支架</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1）根据《变电站建筑结构设计技术规程》(DL/T5457-2012)和《电力设施抗震设计规范》(GB/50260-2013)的规定，110kV支架均按8度进行抗震计算。抗震设防类别为丙类，结构设计安全等级为二级，结构重要性系数为1.0，设计使用年限50年。</w:t>
      </w:r>
    </w:p>
    <w:p>
      <w:pPr>
        <w:keepNext w:val="0"/>
        <w:keepLines w:val="0"/>
        <w:pageBreakBefore w:val="0"/>
        <w:widowControl/>
        <w:kinsoku/>
        <w:wordWrap/>
        <w:overflowPunct/>
        <w:topLinePunct w:val="0"/>
        <w:autoSpaceDE/>
        <w:autoSpaceDN/>
        <w:bidi w:val="0"/>
        <w:snapToGrid/>
        <w:spacing w:line="460" w:lineRule="exact"/>
        <w:textAlignment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5.3.3.1构架结构选型及布置方案</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原有构架型式为φ300mm钢筋混凝土环形杆。</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5.3.3.2设备支架</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本期扩建支架采用Φ273的钢管杆。</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5.3.4  全站建、构筑物的地基与基础</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5.3.4.1地基</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cs="Times New Roman"/>
          <w:color w:val="auto"/>
          <w:sz w:val="24"/>
          <w:szCs w:val="24"/>
          <w:highlight w:val="none"/>
        </w:rPr>
        <w:t>设备支架基础埋深1.5m，电容器基础埋深1.0m，根据地勘报告显示,构筑物基础均位于第（2）单元泥岩单元，地基土承载力特征值为250kPa，采用天然地基。</w:t>
      </w:r>
    </w:p>
    <w:p>
      <w:pPr>
        <w:pStyle w:val="26"/>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5.3.4.2基础</w:t>
      </w:r>
    </w:p>
    <w:p>
      <w:pPr>
        <w:pStyle w:val="26"/>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一期主变压器基础采用板式基础；支架柱采用重力式砼刚性基础，本期更换主变后，主变基础轨距应满足一期要求，主变基础承载力</w:t>
      </w:r>
      <w:r>
        <w:rPr>
          <w:rFonts w:hint="default" w:ascii="Times New Roman" w:hAnsi="Times New Roman" w:cs="Times New Roman"/>
          <w:snapToGrid w:val="0"/>
          <w:color w:val="auto"/>
          <w:kern w:val="21"/>
          <w:sz w:val="24"/>
          <w:szCs w:val="24"/>
          <w:highlight w:val="none"/>
          <w:lang w:eastAsia="zh-CN"/>
        </w:rPr>
        <w:t>经计算满足要求</w:t>
      </w:r>
      <w:r>
        <w:rPr>
          <w:rFonts w:hint="default" w:ascii="Times New Roman" w:hAnsi="Times New Roman" w:cs="Times New Roman"/>
          <w:snapToGrid w:val="0"/>
          <w:color w:val="auto"/>
          <w:kern w:val="21"/>
          <w:sz w:val="24"/>
          <w:szCs w:val="24"/>
          <w:highlight w:val="none"/>
        </w:rPr>
        <w:t>。</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68" w:name="_Toc626"/>
      <w:r>
        <w:rPr>
          <w:rFonts w:hint="default" w:ascii="Times New Roman" w:hAnsi="Times New Roman" w:cs="Times New Roman"/>
          <w:color w:val="auto"/>
          <w:kern w:val="21"/>
          <w:sz w:val="24"/>
          <w:szCs w:val="24"/>
          <w:highlight w:val="none"/>
        </w:rPr>
        <w:t>5.4  给排水</w:t>
      </w:r>
      <w:bookmarkEnd w:id="268"/>
      <w:r>
        <w:rPr>
          <w:rFonts w:hint="default" w:ascii="Times New Roman" w:hAnsi="Times New Roman" w:cs="Times New Roman"/>
          <w:color w:val="auto"/>
          <w:kern w:val="21"/>
          <w:sz w:val="24"/>
          <w:szCs w:val="24"/>
          <w:highlight w:val="none"/>
        </w:rPr>
        <w:t xml:space="preserve"> </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5.4.1  站区给、排水现状</w:t>
      </w:r>
    </w:p>
    <w:p>
      <w:pPr>
        <w:pStyle w:val="26"/>
        <w:keepNext w:val="0"/>
        <w:keepLines w:val="0"/>
        <w:pageBreakBefore w:val="0"/>
        <w:numPr>
          <w:ilvl w:val="0"/>
          <w:numId w:val="10"/>
        </w:numPr>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现有给水布置：</w:t>
      </w:r>
      <w:r>
        <w:rPr>
          <w:rFonts w:hint="default" w:ascii="Times New Roman" w:hAnsi="Times New Roman" w:cs="Times New Roman"/>
          <w:snapToGrid w:val="0"/>
          <w:color w:val="auto"/>
          <w:kern w:val="21"/>
          <w:sz w:val="24"/>
          <w:szCs w:val="24"/>
          <w:highlight w:val="none"/>
        </w:rPr>
        <w:t>一期已建成，满足本期需要</w:t>
      </w:r>
      <w:r>
        <w:rPr>
          <w:rFonts w:hint="default" w:ascii="Times New Roman" w:hAnsi="Times New Roman" w:cs="Times New Roman"/>
          <w:color w:val="auto"/>
          <w:kern w:val="21"/>
          <w:sz w:val="24"/>
          <w:szCs w:val="24"/>
          <w:highlight w:val="none"/>
        </w:rPr>
        <w:t>。</w:t>
      </w:r>
    </w:p>
    <w:p>
      <w:pPr>
        <w:pStyle w:val="26"/>
        <w:keepNext w:val="0"/>
        <w:keepLines w:val="0"/>
        <w:pageBreakBefore w:val="0"/>
        <w:numPr>
          <w:ilvl w:val="0"/>
          <w:numId w:val="10"/>
        </w:numPr>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cs="Times New Roman"/>
          <w:snapToGrid w:val="0"/>
          <w:color w:val="auto"/>
          <w:kern w:val="21"/>
          <w:sz w:val="24"/>
          <w:szCs w:val="24"/>
          <w:highlight w:val="none"/>
        </w:rPr>
        <w:t>现有排水条件：站内排水业主考虑并满足本期需要</w:t>
      </w:r>
      <w:r>
        <w:rPr>
          <w:rFonts w:hint="default" w:ascii="Times New Roman" w:hAnsi="Times New Roman" w:cs="Times New Roman"/>
          <w:color w:val="auto"/>
          <w:kern w:val="21"/>
          <w:sz w:val="24"/>
          <w:szCs w:val="24"/>
          <w:highlight w:val="none"/>
        </w:rPr>
        <w:t>。</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5.4.2  本期给排水系统</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lang w:val="zh-CN"/>
        </w:rPr>
      </w:pPr>
      <w:r>
        <w:rPr>
          <w:rFonts w:hint="default" w:ascii="Times New Roman" w:hAnsi="Times New Roman" w:cs="Times New Roman"/>
          <w:snapToGrid w:val="0"/>
          <w:color w:val="auto"/>
          <w:kern w:val="21"/>
          <w:sz w:val="24"/>
          <w:szCs w:val="24"/>
          <w:highlight w:val="none"/>
        </w:rPr>
        <w:t>站内给水系统一期已完成，排水系统本期增加排油管。</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69" w:name="_Toc10476"/>
      <w:r>
        <w:rPr>
          <w:rFonts w:hint="default" w:ascii="Times New Roman" w:hAnsi="Times New Roman" w:cs="Times New Roman"/>
          <w:color w:val="auto"/>
          <w:kern w:val="21"/>
          <w:sz w:val="24"/>
          <w:szCs w:val="24"/>
          <w:highlight w:val="none"/>
        </w:rPr>
        <w:t>5.5  采暖通风</w:t>
      </w:r>
      <w:bookmarkEnd w:id="269"/>
      <w:r>
        <w:rPr>
          <w:rFonts w:hint="default" w:ascii="Times New Roman" w:hAnsi="Times New Roman" w:cs="Times New Roman"/>
          <w:color w:val="auto"/>
          <w:kern w:val="21"/>
          <w:sz w:val="24"/>
          <w:szCs w:val="24"/>
          <w:highlight w:val="none"/>
        </w:rPr>
        <w:t xml:space="preserve"> </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5.5.1  采暖方案</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4"/>
          <w:sz w:val="24"/>
          <w:szCs w:val="24"/>
          <w:highlight w:val="none"/>
          <w:lang w:val="zh-CN"/>
        </w:rPr>
      </w:pPr>
      <w:r>
        <w:rPr>
          <w:rFonts w:hint="default" w:ascii="Times New Roman" w:hAnsi="Times New Roman" w:cs="Times New Roman"/>
          <w:color w:val="auto"/>
          <w:kern w:val="4"/>
          <w:sz w:val="24"/>
          <w:szCs w:val="24"/>
          <w:highlight w:val="none"/>
          <w:lang w:val="zh-CN"/>
        </w:rPr>
        <w:t>采暖设备一期已建成，本期无需改动。</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5.5.2  通风方案及设备选型 </w:t>
      </w:r>
    </w:p>
    <w:p>
      <w:pPr>
        <w:keepNext w:val="0"/>
        <w:keepLines w:val="0"/>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4"/>
          <w:sz w:val="24"/>
          <w:szCs w:val="24"/>
          <w:highlight w:val="none"/>
          <w:lang w:val="zh-CN"/>
        </w:rPr>
      </w:pPr>
      <w:r>
        <w:rPr>
          <w:rFonts w:hint="default" w:ascii="Times New Roman" w:hAnsi="Times New Roman" w:cs="Times New Roman"/>
          <w:color w:val="auto"/>
          <w:kern w:val="4"/>
          <w:sz w:val="24"/>
          <w:szCs w:val="24"/>
          <w:highlight w:val="none"/>
          <w:lang w:val="zh-CN"/>
        </w:rPr>
        <w:t>通风设备一期已建成，本期无需改动。</w:t>
      </w:r>
    </w:p>
    <w:bookmarkEnd w:id="265"/>
    <w:p>
      <w:pPr>
        <w:keepNext w:val="0"/>
        <w:keepLines w:val="0"/>
        <w:pageBreakBefore w:val="0"/>
        <w:widowControl/>
        <w:tabs>
          <w:tab w:val="left" w:pos="432"/>
        </w:tabs>
        <w:kinsoku/>
        <w:wordWrap/>
        <w:overflowPunct/>
        <w:topLinePunct w:val="0"/>
        <w:autoSpaceDE/>
        <w:autoSpaceDN/>
        <w:bidi w:val="0"/>
        <w:adjustRightInd w:val="0"/>
        <w:snapToGrid/>
        <w:spacing w:line="460" w:lineRule="exact"/>
        <w:ind w:left="426" w:hanging="364" w:hangingChars="152"/>
        <w:textAlignment w:val="auto"/>
        <w:outlineLvl w:val="0"/>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br w:type="page"/>
      </w:r>
      <w:bookmarkStart w:id="270" w:name="_Toc27689"/>
      <w:r>
        <w:rPr>
          <w:rFonts w:hint="default" w:ascii="Times New Roman" w:hAnsi="Times New Roman" w:cs="Times New Roman"/>
          <w:color w:val="auto"/>
          <w:kern w:val="21"/>
          <w:sz w:val="24"/>
          <w:szCs w:val="24"/>
          <w:highlight w:val="none"/>
        </w:rPr>
        <w:t>6  消防</w:t>
      </w:r>
      <w:bookmarkEnd w:id="270"/>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71" w:name="_Toc17889"/>
      <w:r>
        <w:rPr>
          <w:rFonts w:hint="default" w:ascii="Times New Roman" w:hAnsi="Times New Roman" w:cs="Times New Roman"/>
          <w:color w:val="auto"/>
          <w:kern w:val="21"/>
          <w:sz w:val="24"/>
          <w:szCs w:val="24"/>
          <w:highlight w:val="none"/>
        </w:rPr>
        <w:t>6.1  概述</w:t>
      </w:r>
      <w:bookmarkEnd w:id="271"/>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6.1.1设计中执行的有关消防设计规范：</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《建筑灭火器配置设计规范》             GB50140-2005</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《建筑设计防火规范》                   GB50016-2014</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《电力设备典型消防规程》               DL5027-2015</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《火力发电厂与变电所设计防火规范》     GB50229-2019</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《火灾自动报警系统设计规范》  </w:t>
      </w:r>
      <w:r>
        <w:rPr>
          <w:rFonts w:hint="default" w:ascii="Times New Roman" w:hAnsi="Times New Roman" w:cs="Times New Roman"/>
          <w:snapToGrid w:val="0"/>
          <w:color w:val="auto"/>
          <w:kern w:val="21"/>
          <w:sz w:val="24"/>
          <w:szCs w:val="24"/>
          <w:highlight w:val="none"/>
        </w:rPr>
        <w:tab/>
      </w:r>
      <w:r>
        <w:rPr>
          <w:rFonts w:hint="default" w:ascii="Times New Roman" w:hAnsi="Times New Roman" w:cs="Times New Roman"/>
          <w:snapToGrid w:val="0"/>
          <w:color w:val="auto"/>
          <w:kern w:val="21"/>
          <w:sz w:val="24"/>
          <w:szCs w:val="24"/>
          <w:highlight w:val="none"/>
        </w:rPr>
        <w:t xml:space="preserve">       GB50116-2013</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《高压配电装置设计技术规程》           DL/T5352-2018</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《并联电容器装置设计规范》             GB50227-2017</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《电力工程电缆设计规范》               GB50217-2018</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6.1.2本期消防设计范围及界限：</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本期仅考虑新建支架</w:t>
      </w:r>
      <w:r>
        <w:rPr>
          <w:rFonts w:hint="default" w:ascii="Times New Roman" w:hAnsi="Times New Roman" w:cs="Times New Roman"/>
          <w:snapToGrid w:val="0"/>
          <w:color w:val="auto"/>
          <w:kern w:val="21"/>
          <w:sz w:val="24"/>
          <w:szCs w:val="24"/>
          <w:highlight w:val="none"/>
          <w:lang w:eastAsia="zh-CN"/>
        </w:rPr>
        <w:t>、</w:t>
      </w:r>
      <w:r>
        <w:rPr>
          <w:rFonts w:hint="default" w:ascii="Times New Roman" w:hAnsi="Times New Roman" w:cs="Times New Roman"/>
          <w:snapToGrid w:val="0"/>
          <w:color w:val="auto"/>
          <w:kern w:val="21"/>
          <w:sz w:val="24"/>
          <w:szCs w:val="24"/>
          <w:highlight w:val="none"/>
        </w:rPr>
        <w:t>新增电容器及新增</w:t>
      </w:r>
      <w:r>
        <w:rPr>
          <w:rFonts w:hint="default" w:ascii="Times New Roman" w:hAnsi="Times New Roman" w:cs="Times New Roman"/>
          <w:snapToGrid w:val="0"/>
          <w:color w:val="auto"/>
          <w:kern w:val="21"/>
          <w:sz w:val="24"/>
          <w:szCs w:val="24"/>
          <w:highlight w:val="none"/>
          <w:lang w:val="en-US" w:eastAsia="zh-CN"/>
        </w:rPr>
        <w:t>接地变及消弧线圈成套装置</w:t>
      </w:r>
      <w:r>
        <w:rPr>
          <w:rFonts w:hint="default" w:ascii="Times New Roman" w:hAnsi="Times New Roman" w:cs="Times New Roman"/>
          <w:snapToGrid w:val="0"/>
          <w:color w:val="auto"/>
          <w:kern w:val="21"/>
          <w:sz w:val="24"/>
          <w:szCs w:val="24"/>
          <w:highlight w:val="none"/>
        </w:rPr>
        <w:t>等设计防火距离，其余消防设计由业主负责。</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kern w:val="21"/>
          <w:sz w:val="24"/>
          <w:szCs w:val="24"/>
          <w:highlight w:val="none"/>
        </w:rPr>
        <w:t>6.1.3</w:t>
      </w:r>
      <w:r>
        <w:rPr>
          <w:rFonts w:hint="default" w:ascii="Times New Roman" w:hAnsi="Times New Roman" w:cs="Times New Roman"/>
          <w:snapToGrid w:val="0"/>
          <w:color w:val="auto"/>
          <w:kern w:val="21"/>
          <w:sz w:val="24"/>
          <w:szCs w:val="24"/>
          <w:highlight w:val="none"/>
        </w:rPr>
        <w:t>消防设计主要原则：</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（1）设计中遵循“预防为主，防消结合”的方针，执行与消防相关之规定，防止和减少火灾损失。</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（2）对建筑物及构筑物设计中，按照其火灾危险性类别及最底耐火等级要求，遵循与其对应的消防设计要求，防止和减少火灾损失。</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（3）对站区规划设计中，对管道及道路布置，配电装置布置，建筑物及构筑物布置，结合消防设计要求，节约占地，统筹规划与布置，防止和减少火灾损失。</w:t>
      </w:r>
      <w:r>
        <w:rPr>
          <w:rFonts w:hint="default" w:ascii="Times New Roman" w:hAnsi="Times New Roman" w:cs="Times New Roman"/>
          <w:snapToGrid w:val="0"/>
          <w:color w:val="auto"/>
          <w:kern w:val="21"/>
          <w:sz w:val="24"/>
          <w:szCs w:val="24"/>
          <w:highlight w:val="none"/>
        </w:rPr>
        <w:tab/>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 xml:space="preserve">   （4）对电气设备设计中，按照其结构特性及运行要求，设计中遵循选配符合性能要求的设备，配置消防预警系统、配置与其电气特性相符合的灭火设施、布置消防通道等原则，防止和减少火灾损失。</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72" w:name="_Toc14365"/>
      <w:r>
        <w:rPr>
          <w:rFonts w:hint="default" w:ascii="Times New Roman" w:hAnsi="Times New Roman" w:cs="Times New Roman"/>
          <w:color w:val="auto"/>
          <w:kern w:val="21"/>
          <w:sz w:val="24"/>
          <w:szCs w:val="24"/>
          <w:highlight w:val="none"/>
        </w:rPr>
        <w:t>6.2  消防措施</w:t>
      </w:r>
      <w:bookmarkEnd w:id="272"/>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6.2.1 站区总平面布置</w:t>
      </w:r>
    </w:p>
    <w:p>
      <w:pPr>
        <w:pStyle w:val="26"/>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根据各建、构物火灾危险性类别和耐火等级，结合本期站区平面布置，</w:t>
      </w:r>
      <w:r>
        <w:rPr>
          <w:rFonts w:hint="default" w:ascii="Times New Roman" w:hAnsi="Times New Roman" w:cs="Times New Roman"/>
          <w:snapToGrid w:val="0"/>
          <w:color w:val="auto"/>
          <w:kern w:val="21"/>
          <w:sz w:val="24"/>
          <w:szCs w:val="24"/>
          <w:highlight w:val="none"/>
          <w:lang w:val="en-US" w:eastAsia="zh-CN"/>
        </w:rPr>
        <w:t>本期</w:t>
      </w:r>
      <w:r>
        <w:rPr>
          <w:rFonts w:hint="default" w:ascii="Times New Roman" w:hAnsi="Times New Roman" w:cs="Times New Roman"/>
          <w:snapToGrid w:val="0"/>
          <w:color w:val="auto"/>
          <w:kern w:val="21"/>
          <w:sz w:val="24"/>
          <w:szCs w:val="24"/>
          <w:highlight w:val="none"/>
        </w:rPr>
        <w:t>无需设计防火墙。</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6.2.2  站区建（构）筑物</w:t>
      </w:r>
    </w:p>
    <w:p>
      <w:pPr>
        <w:pStyle w:val="26"/>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本工程站区建（构）筑物耐火等级及火灾危险性分类见表6-1：</w:t>
      </w:r>
    </w:p>
    <w:p>
      <w:pPr>
        <w:pStyle w:val="26"/>
        <w:keepNext w:val="0"/>
        <w:keepLines w:val="0"/>
        <w:pageBreakBefore w:val="0"/>
        <w:kinsoku/>
        <w:wordWrap/>
        <w:overflowPunct/>
        <w:topLinePunct w:val="0"/>
        <w:autoSpaceDE/>
        <w:autoSpaceDN/>
        <w:bidi w:val="0"/>
        <w:snapToGrid/>
        <w:spacing w:line="460" w:lineRule="exact"/>
        <w:jc w:val="center"/>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表6-1  站区建（构）筑物耐火等级及火灾危险性分类</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3027"/>
        <w:gridCol w:w="30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60" w:type="dxa"/>
            <w:tcBorders>
              <w:bottom w:val="single" w:color="auto" w:sz="4" w:space="0"/>
            </w:tcBorders>
            <w:noWrap w:val="0"/>
            <w:vAlign w:val="top"/>
          </w:tcPr>
          <w:p>
            <w:pPr>
              <w:pStyle w:val="26"/>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建、构筑物名称</w:t>
            </w:r>
          </w:p>
        </w:tc>
        <w:tc>
          <w:tcPr>
            <w:tcW w:w="3027" w:type="dxa"/>
            <w:tcBorders>
              <w:bottom w:val="single" w:color="auto" w:sz="4" w:space="0"/>
            </w:tcBorders>
            <w:noWrap w:val="0"/>
            <w:vAlign w:val="top"/>
          </w:tcPr>
          <w:p>
            <w:pPr>
              <w:pStyle w:val="26"/>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火灾危险性类别</w:t>
            </w:r>
          </w:p>
        </w:tc>
        <w:tc>
          <w:tcPr>
            <w:tcW w:w="3027" w:type="dxa"/>
            <w:tcBorders>
              <w:bottom w:val="single" w:color="auto" w:sz="4" w:space="0"/>
            </w:tcBorders>
            <w:noWrap w:val="0"/>
            <w:vAlign w:val="top"/>
          </w:tcPr>
          <w:p>
            <w:pPr>
              <w:pStyle w:val="26"/>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最底耐火等级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60" w:type="dxa"/>
            <w:tcBorders>
              <w:top w:val="single" w:color="auto" w:sz="4" w:space="0"/>
            </w:tcBorders>
            <w:noWrap w:val="0"/>
            <w:vAlign w:val="top"/>
          </w:tcPr>
          <w:p>
            <w:pPr>
              <w:pStyle w:val="26"/>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配电装置楼</w:t>
            </w:r>
          </w:p>
        </w:tc>
        <w:tc>
          <w:tcPr>
            <w:tcW w:w="3027" w:type="dxa"/>
            <w:tcBorders>
              <w:top w:val="single" w:color="auto" w:sz="4" w:space="0"/>
            </w:tcBorders>
            <w:noWrap w:val="0"/>
            <w:vAlign w:val="top"/>
          </w:tcPr>
          <w:p>
            <w:pPr>
              <w:pStyle w:val="26"/>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丁</w:t>
            </w:r>
          </w:p>
        </w:tc>
        <w:tc>
          <w:tcPr>
            <w:tcW w:w="3027" w:type="dxa"/>
            <w:tcBorders>
              <w:top w:val="single" w:color="auto" w:sz="4" w:space="0"/>
            </w:tcBorders>
            <w:noWrap w:val="0"/>
            <w:vAlign w:val="top"/>
          </w:tcPr>
          <w:p>
            <w:pPr>
              <w:pStyle w:val="26"/>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二级</w:t>
            </w:r>
          </w:p>
        </w:tc>
      </w:tr>
    </w:tbl>
    <w:p>
      <w:pPr>
        <w:pStyle w:val="26"/>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注：本期设计</w:t>
      </w:r>
      <w:r>
        <w:rPr>
          <w:rFonts w:hint="default" w:ascii="Times New Roman" w:hAnsi="Times New Roman" w:cs="Times New Roman"/>
          <w:color w:val="auto"/>
          <w:kern w:val="21"/>
          <w:sz w:val="24"/>
          <w:szCs w:val="24"/>
          <w:highlight w:val="none"/>
          <w:lang w:eastAsia="zh-CN"/>
        </w:rPr>
        <w:t>未包含消防设计</w:t>
      </w:r>
      <w:r>
        <w:rPr>
          <w:rFonts w:hint="default" w:ascii="Times New Roman" w:hAnsi="Times New Roman" w:cs="Times New Roman"/>
          <w:color w:val="auto"/>
          <w:kern w:val="21"/>
          <w:sz w:val="24"/>
          <w:szCs w:val="24"/>
          <w:highlight w:val="none"/>
        </w:rPr>
        <w:t>相关内容。</w:t>
      </w:r>
    </w:p>
    <w:p>
      <w:pPr>
        <w:pStyle w:val="26"/>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kern w:val="21"/>
          <w:sz w:val="24"/>
          <w:szCs w:val="24"/>
          <w:highlight w:val="none"/>
        </w:rPr>
        <w:t>6.2.3</w:t>
      </w:r>
      <w:r>
        <w:rPr>
          <w:rFonts w:hint="default" w:ascii="Times New Roman" w:hAnsi="Times New Roman" w:cs="Times New Roman"/>
          <w:snapToGrid w:val="0"/>
          <w:color w:val="auto"/>
          <w:kern w:val="21"/>
          <w:sz w:val="24"/>
          <w:szCs w:val="24"/>
          <w:highlight w:val="none"/>
        </w:rPr>
        <w:t>电气设施：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本工程电缆均采用阻燃电缆。在电缆沟进入建筑物的入口处、以及长度超过60m的电缆沟，均采取防止电缆火灾蔓延的防火墙阻燃、分隔措施，并用防火堵料封堵电缆通过的孔洞。在主变旁设消防小间、消防砂坑，满足扩建要求。</w:t>
      </w:r>
    </w:p>
    <w:p>
      <w:pPr>
        <w:pStyle w:val="2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（2）火灾自动报警系统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站内设置一套火灾报警及控制系统。火灾报警控制器的容量、性能要求及相应接口均按照最终规模考虑，</w:t>
      </w:r>
      <w:r>
        <w:rPr>
          <w:rFonts w:hint="default" w:ascii="Times New Roman" w:hAnsi="Times New Roman" w:cs="Times New Roman"/>
          <w:color w:val="auto"/>
          <w:sz w:val="24"/>
          <w:szCs w:val="24"/>
          <w:highlight w:val="none"/>
        </w:rPr>
        <w:t>火灾报警控制器设在二次设备室内</w:t>
      </w:r>
      <w:r>
        <w:rPr>
          <w:rFonts w:hint="default" w:ascii="Times New Roman" w:hAnsi="Times New Roman" w:cs="Times New Roman"/>
          <w:snapToGrid w:val="0"/>
          <w:color w:val="auto"/>
          <w:kern w:val="21"/>
          <w:sz w:val="24"/>
          <w:szCs w:val="24"/>
          <w:highlight w:val="none"/>
        </w:rPr>
        <w:t>，当有火情发生时，火灾报警控制器可及时发出声光报警信号，显示发生火警的地点。</w:t>
      </w:r>
    </w:p>
    <w:p>
      <w:pPr>
        <w:pStyle w:val="4"/>
        <w:keepNext/>
        <w:keepLines/>
        <w:pageBreakBefore w:val="0"/>
        <w:widowControl w:val="0"/>
        <w:numPr>
          <w:ilvl w:val="0"/>
          <w:numId w:val="0"/>
        </w:numPr>
        <w:kinsoku/>
        <w:wordWrap/>
        <w:overflowPunct/>
        <w:topLinePunct w:val="0"/>
        <w:autoSpaceDE/>
        <w:autoSpaceDN/>
        <w:bidi w:val="0"/>
        <w:snapToGrid/>
        <w:spacing w:before="0" w:beforeLines="0" w:beforeAutospacing="0" w:after="0" w:afterLines="0" w:afterAutospacing="0" w:line="460" w:lineRule="exact"/>
        <w:ind w:left="0" w:leftChars="0" w:right="0" w:firstLine="0" w:firstLineChars="0"/>
        <w:jc w:val="both"/>
        <w:textAlignment w:val="baseline"/>
        <w:outlineLvl w:val="0"/>
        <w:rPr>
          <w:rFonts w:hint="default" w:ascii="Times New Roman" w:hAnsi="Times New Roman" w:cs="Times New Roman"/>
          <w:color w:val="auto"/>
          <w:kern w:val="21"/>
          <w:sz w:val="24"/>
          <w:szCs w:val="24"/>
          <w:highlight w:val="none"/>
        </w:rPr>
      </w:pPr>
      <w:r>
        <w:rPr>
          <w:rFonts w:hint="default" w:ascii="Times New Roman" w:hAnsi="Times New Roman" w:cs="Times New Roman"/>
          <w:snapToGrid w:val="0"/>
          <w:color w:val="auto"/>
          <w:kern w:val="21"/>
          <w:sz w:val="24"/>
          <w:szCs w:val="24"/>
          <w:highlight w:val="none"/>
        </w:rPr>
        <w:br w:type="page"/>
      </w:r>
      <w:bookmarkStart w:id="273" w:name="_Toc26159"/>
      <w:r>
        <w:rPr>
          <w:rFonts w:hint="default" w:ascii="Times New Roman" w:hAnsi="Times New Roman" w:cs="Times New Roman"/>
          <w:snapToGrid w:val="0"/>
          <w:color w:val="auto"/>
          <w:kern w:val="21"/>
          <w:sz w:val="24"/>
          <w:szCs w:val="24"/>
          <w:highlight w:val="none"/>
          <w:lang w:eastAsia="zh-CN"/>
        </w:rPr>
        <w:t>7</w:t>
      </w:r>
      <w:r>
        <w:rPr>
          <w:rFonts w:hint="default" w:ascii="Times New Roman" w:hAnsi="Times New Roman" w:cs="Times New Roman"/>
          <w:color w:val="auto"/>
          <w:kern w:val="21"/>
          <w:sz w:val="24"/>
          <w:szCs w:val="24"/>
          <w:highlight w:val="none"/>
        </w:rPr>
        <w:t xml:space="preserve">  环境保护、水土保持和节能减排</w:t>
      </w:r>
      <w:bookmarkEnd w:id="273"/>
    </w:p>
    <w:p>
      <w:pPr>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74" w:name="_Toc1245"/>
      <w:r>
        <w:rPr>
          <w:rFonts w:hint="default" w:ascii="Times New Roman" w:hAnsi="Times New Roman" w:cs="Times New Roman"/>
          <w:color w:val="auto"/>
          <w:kern w:val="21"/>
          <w:sz w:val="24"/>
          <w:szCs w:val="24"/>
          <w:highlight w:val="none"/>
        </w:rPr>
        <w:t>7.1  环境保护</w:t>
      </w:r>
      <w:bookmarkEnd w:id="274"/>
    </w:p>
    <w:p>
      <w:pPr>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一是要求施工作业部门强化施工期间的环境管理，妥善处置施工垃圾、弃渣、噪声及扬尘环保要求；二是变电站合理配置低噪声设备，确保周围居民区噪声达标；三是站内污水排放，集中处理达标后方可外排。</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7.1.1生活污水处置措施。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本站由于守卫人员生活，产生少量生活污水，经计算生活污水最大排放量为2m³/h，由高效化粪池处理后，排入站区排水系统。本工程无生产污水产生。</w:t>
      </w:r>
    </w:p>
    <w:p>
      <w:pPr>
        <w:pageBreakBefore w:val="0"/>
        <w:kinsoku/>
        <w:wordWrap/>
        <w:overflowPunct/>
        <w:topLinePunct w:val="0"/>
        <w:autoSpaceDE/>
        <w:autoSpaceDN/>
        <w:bidi w:val="0"/>
        <w:adjustRightInd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7.1.2噪声源及其控制措施。</w:t>
      </w:r>
    </w:p>
    <w:p>
      <w:pPr>
        <w:pageBreakBefore w:val="0"/>
        <w:kinsoku/>
        <w:wordWrap/>
        <w:overflowPunct/>
        <w:topLinePunct w:val="0"/>
        <w:autoSpaceDE/>
        <w:autoSpaceDN/>
        <w:bidi w:val="0"/>
        <w:adjustRightInd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噪声源为运行中的变压器。在设备选型时选择符合国家标准的低噪声电气设备,变电站厂界噪声可以满足国标GB12349-1993Ⅱ类的要求。</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7.1.3电磁环境控制措施。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根据HJ/T10.3-1996《辐射防护管理导则电磁辐射环境影响评价技术规范》，HJ/T10.2-1996《电磁辐射监测仪器和方法》和GB7349-1987《高压架空输电线，变电站无线电干扰测量方法》，本工程厂界处工频电场强度以4kV/m限值要求，厂界处工频磁感应强度亦以满足标准限值（0.1mT）要求，厂界处无线电干扰场强以满足标准55dB（μV/m）限值要求。</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7.1.4电、磁场治理措施。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本工程的变电设备，包括高压断路器、隔离开关、互感器、母线、绝缘子等在运行中产生工频电磁波。工频电磁波是指频率为50Hz左右的低频电磁波。工频电磁波相应的产生工频磁场和工频电场。</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采取的治理方案为：本工程远离居民密集区；对电气设备进行合理布局，保证导体、电气设备安全距离符合规定要求；选用电磁辐射水平低的设备；选配质量高的设备及配件，外型和尺寸合理，避免出现高电位梯度点；对产生大频率的电磁振荡设备的采取必要的屏蔽，选用带屏蔽层的电缆，屏蔽层接地等。</w:t>
      </w:r>
      <w:r>
        <w:rPr>
          <w:rFonts w:hint="default" w:ascii="Times New Roman" w:hAnsi="Times New Roman" w:cs="Times New Roman"/>
          <w:snapToGrid w:val="0"/>
          <w:color w:val="auto"/>
          <w:kern w:val="21"/>
          <w:sz w:val="24"/>
          <w:szCs w:val="24"/>
          <w:highlight w:val="none"/>
        </w:rPr>
        <w:br w:type="textWrapping"/>
      </w:r>
      <w:r>
        <w:rPr>
          <w:rFonts w:hint="default" w:ascii="Times New Roman" w:hAnsi="Times New Roman" w:cs="Times New Roman"/>
          <w:snapToGrid w:val="0"/>
          <w:color w:val="auto"/>
          <w:kern w:val="21"/>
          <w:sz w:val="24"/>
          <w:szCs w:val="24"/>
          <w:highlight w:val="none"/>
        </w:rPr>
        <w:t>7.1.5防无线电干扰治理措施。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电晕产生的电磁波造成的无线电干扰。主要表现为无线电噪声，其中包括在导线表面或线路附件表面的电晕放电、绝缘子高电位梯度部分的放电和火花，以及松动或接触不良处的火花。电晕产生的电磁波，干扰该频段无线电信号的接受。</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采取的治理方案为：选配质量高的设备及配件，外型和尺寸合理，避免出现高电位梯度点；对产生大频率的电磁振荡设备的采取必要的屏蔽，选用带屏蔽层的电缆，屏蔽层接地等。本工程厂界处无线电干扰场强可以满足标准55dB（μV/m）限值要求。</w:t>
      </w:r>
    </w:p>
    <w:p>
      <w:pPr>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75" w:name="_Toc18582"/>
      <w:r>
        <w:rPr>
          <w:rFonts w:hint="default" w:ascii="Times New Roman" w:hAnsi="Times New Roman" w:cs="Times New Roman"/>
          <w:color w:val="auto"/>
          <w:kern w:val="21"/>
          <w:sz w:val="24"/>
          <w:szCs w:val="24"/>
          <w:highlight w:val="none"/>
        </w:rPr>
        <w:t>7.2  水土保持</w:t>
      </w:r>
      <w:bookmarkEnd w:id="275"/>
    </w:p>
    <w:p>
      <w:pPr>
        <w:pageBreakBefore w:val="0"/>
        <w:widowControl/>
        <w:kinsoku/>
        <w:wordWrap/>
        <w:overflowPunct/>
        <w:topLinePunct w:val="0"/>
        <w:autoSpaceDE/>
        <w:autoSpaceDN/>
        <w:bidi w:val="0"/>
        <w:adjustRightInd w:val="0"/>
        <w:snapToGrid/>
        <w:spacing w:line="460" w:lineRule="exact"/>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7.2.1  水土保持意见</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根据河南省水利厅豫水保[2017]22号文件相关要求，本工程弃土为89.56m³，变电站总用地面积为0.3348hm²，满足不编水保方案报审工作要求。对本工程建设单位应做好水土流失防治工作，一是在施工期间作好覆盖防尘网；二是项目建成后，及时恢复场地面，及做好本站内水土保持措施。</w:t>
      </w:r>
    </w:p>
    <w:p>
      <w:pPr>
        <w:pageBreakBefore w:val="0"/>
        <w:widowControl/>
        <w:kinsoku/>
        <w:wordWrap/>
        <w:overflowPunct/>
        <w:topLinePunct w:val="0"/>
        <w:autoSpaceDE/>
        <w:autoSpaceDN/>
        <w:bidi w:val="0"/>
        <w:adjustRightInd w:val="0"/>
        <w:snapToGrid/>
        <w:spacing w:line="460" w:lineRule="exact"/>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7.2.2  水土保持措施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为做好水土保护工作，本工程采取如下措施：</w:t>
      </w:r>
      <w:r>
        <w:rPr>
          <w:rFonts w:hint="default" w:ascii="Times New Roman" w:hAnsi="Times New Roman" w:eastAsia="宋体" w:cs="Times New Roman"/>
          <w:color w:val="auto"/>
          <w:kern w:val="0"/>
          <w:sz w:val="24"/>
          <w:szCs w:val="24"/>
          <w:highlight w:val="none"/>
        </w:rPr>
        <w:t>施工期间作好</w:t>
      </w:r>
      <w:r>
        <w:rPr>
          <w:rFonts w:hint="default" w:ascii="Times New Roman" w:hAnsi="Times New Roman" w:eastAsia="宋体" w:cs="Times New Roman"/>
          <w:color w:val="auto"/>
          <w:kern w:val="0"/>
          <w:sz w:val="24"/>
          <w:szCs w:val="24"/>
          <w:highlight w:val="none"/>
          <w:lang w:eastAsia="zh-CN"/>
        </w:rPr>
        <w:t>覆盖防尘网</w:t>
      </w:r>
      <w:r>
        <w:rPr>
          <w:rFonts w:hint="default" w:ascii="Times New Roman" w:hAnsi="Times New Roman" w:eastAsia="宋体" w:cs="Times New Roman"/>
          <w:color w:val="auto"/>
          <w:kern w:val="0"/>
          <w:sz w:val="24"/>
          <w:szCs w:val="24"/>
          <w:highlight w:val="none"/>
        </w:rPr>
        <w:t>；二是项目建成后，及时恢复</w:t>
      </w:r>
      <w:r>
        <w:rPr>
          <w:rFonts w:hint="default" w:ascii="Times New Roman" w:hAnsi="Times New Roman" w:eastAsia="宋体" w:cs="Times New Roman"/>
          <w:color w:val="auto"/>
          <w:kern w:val="0"/>
          <w:sz w:val="24"/>
          <w:szCs w:val="24"/>
          <w:highlight w:val="none"/>
          <w:lang w:eastAsia="zh-CN"/>
        </w:rPr>
        <w:t>场地面</w:t>
      </w:r>
      <w:r>
        <w:rPr>
          <w:rFonts w:hint="default" w:ascii="Times New Roman" w:hAnsi="Times New Roman" w:eastAsia="宋体" w:cs="Times New Roman"/>
          <w:color w:val="auto"/>
          <w:kern w:val="0"/>
          <w:sz w:val="24"/>
          <w:szCs w:val="24"/>
          <w:highlight w:val="none"/>
        </w:rPr>
        <w:t>，及做好本站内水土保持措施</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21"/>
          <w:sz w:val="24"/>
          <w:szCs w:val="24"/>
          <w:highlight w:val="none"/>
        </w:rPr>
        <w:t>以防水土流失。</w:t>
      </w:r>
    </w:p>
    <w:bookmarkEnd w:id="260"/>
    <w:p>
      <w:pPr>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rPr>
      </w:pPr>
      <w:bookmarkStart w:id="276" w:name="_Toc3789"/>
      <w:bookmarkStart w:id="277" w:name="_Toc296606684"/>
      <w:r>
        <w:rPr>
          <w:rFonts w:hint="default" w:ascii="Times New Roman" w:hAnsi="Times New Roman" w:cs="Times New Roman"/>
          <w:color w:val="auto"/>
          <w:kern w:val="21"/>
          <w:sz w:val="24"/>
          <w:szCs w:val="24"/>
          <w:highlight w:val="none"/>
        </w:rPr>
        <w:t>7.3  节能减排综述</w:t>
      </w:r>
      <w:bookmarkEnd w:id="276"/>
      <w:bookmarkEnd w:id="277"/>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建设“两型一化”变电站，是国家电网公司落实“节能减排”的具体要求。</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7.3.1  要点分析</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本工程按照</w:t>
      </w:r>
      <w:r>
        <w:rPr>
          <w:rFonts w:hint="default" w:ascii="Times New Roman" w:hAnsi="Times New Roman" w:cs="Times New Roman"/>
          <w:snapToGrid w:val="0"/>
          <w:color w:val="auto"/>
          <w:kern w:val="21"/>
          <w:sz w:val="24"/>
          <w:szCs w:val="24"/>
          <w:highlight w:val="none"/>
          <w:lang w:val="en-US" w:eastAsia="zh-CN"/>
        </w:rPr>
        <w:t>有</w:t>
      </w:r>
      <w:r>
        <w:rPr>
          <w:rFonts w:hint="default" w:ascii="Times New Roman" w:hAnsi="Times New Roman" w:cs="Times New Roman"/>
          <w:snapToGrid w:val="0"/>
          <w:color w:val="auto"/>
          <w:kern w:val="21"/>
          <w:sz w:val="24"/>
          <w:szCs w:val="24"/>
          <w:highlight w:val="none"/>
        </w:rPr>
        <w:t>人值班变电站设计。</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节能”，从3个方面实现节能目标。其一，本工程本质是实现电能传输中的变电功能，要实现电能损耗节约；其二，减少本工程建筑及其他附属设施材料消耗，实现原材料节省；其三，本工程建成后，要实现设施运行维护中的电消耗节约。</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7.3.2  措施</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7.3.2.1电能损耗节约措施。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在本工程的方案设计中，从</w:t>
      </w:r>
      <w:r>
        <w:rPr>
          <w:rFonts w:hint="default" w:ascii="Times New Roman" w:hAnsi="Times New Roman" w:cs="Times New Roman"/>
          <w:snapToGrid w:val="0"/>
          <w:color w:val="auto"/>
          <w:kern w:val="21"/>
          <w:sz w:val="24"/>
          <w:szCs w:val="24"/>
          <w:highlight w:val="none"/>
          <w:lang w:val="en-US" w:eastAsia="zh-CN"/>
        </w:rPr>
        <w:t>以下</w:t>
      </w:r>
      <w:r>
        <w:rPr>
          <w:rFonts w:hint="default" w:ascii="Times New Roman" w:hAnsi="Times New Roman" w:cs="Times New Roman"/>
          <w:snapToGrid w:val="0"/>
          <w:color w:val="auto"/>
          <w:kern w:val="21"/>
          <w:sz w:val="24"/>
          <w:szCs w:val="24"/>
          <w:highlight w:val="none"/>
        </w:rPr>
        <w:t>方面实现电能损耗节能：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（1）主变及</w:t>
      </w:r>
      <w:r>
        <w:rPr>
          <w:rFonts w:hint="default" w:ascii="Times New Roman" w:hAnsi="Times New Roman" w:cs="Times New Roman"/>
          <w:snapToGrid w:val="0"/>
          <w:color w:val="auto"/>
          <w:kern w:val="21"/>
          <w:sz w:val="24"/>
          <w:szCs w:val="24"/>
          <w:highlight w:val="none"/>
          <w:lang w:val="en-US" w:eastAsia="zh-CN"/>
        </w:rPr>
        <w:t>接地</w:t>
      </w:r>
      <w:r>
        <w:rPr>
          <w:rFonts w:hint="default" w:ascii="Times New Roman" w:hAnsi="Times New Roman" w:cs="Times New Roman"/>
          <w:snapToGrid w:val="0"/>
          <w:color w:val="auto"/>
          <w:kern w:val="21"/>
          <w:sz w:val="24"/>
          <w:szCs w:val="24"/>
          <w:highlight w:val="none"/>
        </w:rPr>
        <w:t>变采用低损耗变压器。</w:t>
      </w:r>
    </w:p>
    <w:p>
      <w:pPr>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7.3.2.</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cs="Times New Roman"/>
          <w:snapToGrid w:val="0"/>
          <w:color w:val="auto"/>
          <w:kern w:val="21"/>
          <w:sz w:val="24"/>
          <w:szCs w:val="24"/>
          <w:highlight w:val="none"/>
        </w:rPr>
        <w:t>节约运行维护成本措施。</w:t>
      </w:r>
    </w:p>
    <w:p>
      <w:pPr>
        <w:pageBreakBefore w:val="0"/>
        <w:kinsoku/>
        <w:wordWrap/>
        <w:overflowPunct/>
        <w:topLinePunct w:val="0"/>
        <w:autoSpaceDE/>
        <w:autoSpaceDN/>
        <w:bidi w:val="0"/>
        <w:snapToGrid/>
        <w:spacing w:line="460" w:lineRule="exact"/>
        <w:ind w:firstLine="480" w:firstLineChars="20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降低站用电用量的措施。按站用电设计原则，对工艺专业的电负荷特性逐一区分，站用变压器选用容量合理、低损耗节能型系列产品。</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default" w:ascii="Times New Roman" w:hAnsi="Times New Roman" w:cs="Times New Roman"/>
          <w:color w:val="auto"/>
          <w:kern w:val="21"/>
          <w:sz w:val="24"/>
          <w:szCs w:val="24"/>
          <w:highlight w:val="none"/>
        </w:rPr>
      </w:pPr>
      <w:bookmarkStart w:id="278" w:name="_Toc30191"/>
      <w:bookmarkStart w:id="279" w:name="_Toc296174743"/>
      <w:r>
        <w:rPr>
          <w:rStyle w:val="346"/>
          <w:rFonts w:hint="default" w:ascii="Times New Roman" w:hAnsi="Times New Roman" w:cs="Times New Roman"/>
          <w:color w:val="auto"/>
          <w:sz w:val="24"/>
          <w:szCs w:val="24"/>
          <w:highlight w:val="none"/>
          <w:lang w:val="en-US" w:eastAsia="zh-CN"/>
        </w:rPr>
        <w:t>8 劳动安全卫生</w:t>
      </w:r>
      <w:bookmarkEnd w:id="278"/>
      <w:bookmarkEnd w:id="279"/>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根据国家有关规定要求，本工程在设计中对工作人员的劳动安全与工业卫生作了全面考虑，采取了不同的安全防范措施，以使开关站的工作人员有较好的工作条件和良好环境，安全运行。</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本工程执行的有关标准和规范：</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《建筑设计防火规范》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GB50016-2014</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《污水综合排放标准》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GB8978-2012</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《火灾自动报警系统设计规范》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GB50116-2013</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《工业企业厂界噪声标准》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GB12348-2008</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《工业企业噪声控制设计规范》                  GB50087-2013</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《建筑内部装修设计防火规范》                  GB50222-2017</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《工业企业设计卫生标准》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GBZ1-2010</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《消防安全标志》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GB13495.1-2015</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《建筑灭火器配置设计规范》</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GB50140-2010</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《建筑物防雷设计规范》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GB50057-2010</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《建筑物电子信息系统防雷技术规范》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GB50343-2012</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《交流电气装置的接地设计规范》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GB/T/50065-2011</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《室内空气质量标准》</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GB/T18883-2002</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《火力发电厂与变电站设计防火规范》</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GB50229－201</w:t>
      </w:r>
      <w:r>
        <w:rPr>
          <w:rFonts w:hint="default" w:ascii="Times New Roman" w:hAnsi="Times New Roman" w:cs="Times New Roman"/>
          <w:color w:val="auto"/>
          <w:sz w:val="24"/>
          <w:szCs w:val="24"/>
          <w:highlight w:val="none"/>
          <w:lang w:val="en-US" w:eastAsia="zh-CN"/>
        </w:rPr>
        <w:t>9</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《3～110kV高压配电装置设计规范》              GB50060-2008</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 xml:space="preserve">《高压配电装置设计规程》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 DL/T5352-20</w:t>
      </w:r>
      <w:r>
        <w:rPr>
          <w:rFonts w:hint="default" w:ascii="Times New Roman" w:hAnsi="Times New Roman" w:cs="Times New Roman"/>
          <w:color w:val="auto"/>
          <w:sz w:val="24"/>
          <w:szCs w:val="24"/>
          <w:highlight w:val="none"/>
          <w:lang w:val="en-US" w:eastAsia="zh-CN"/>
        </w:rPr>
        <w:t>18</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《交流电气装置的接地设计规范》                 GB50065-2011</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kern w:val="21"/>
          <w:sz w:val="24"/>
          <w:szCs w:val="24"/>
          <w:highlight w:val="none"/>
          <w:lang w:val="zh-CN"/>
        </w:rPr>
        <w:t>《交流电气装置的过电压保护绝缘配合》</w:t>
      </w:r>
      <w:r>
        <w:rPr>
          <w:rFonts w:hint="default" w:ascii="Times New Roman" w:hAnsi="Times New Roman" w:cs="Times New Roman"/>
          <w:snapToGrid w:val="0"/>
          <w:color w:val="auto"/>
          <w:kern w:val="21"/>
          <w:sz w:val="24"/>
          <w:szCs w:val="24"/>
          <w:highlight w:val="none"/>
        </w:rPr>
        <w:t xml:space="preserve">        </w:t>
      </w:r>
      <w:r>
        <w:rPr>
          <w:rFonts w:hint="default" w:ascii="Times New Roman" w:hAnsi="Times New Roman" w:cs="Times New Roman"/>
          <w:snapToGrid w:val="0"/>
          <w:color w:val="auto"/>
          <w:kern w:val="21"/>
          <w:sz w:val="24"/>
          <w:szCs w:val="24"/>
          <w:highlight w:val="none"/>
          <w:lang w:val="zh-CN"/>
        </w:rPr>
        <w:t>GB/T 50064-2014</w:t>
      </w:r>
    </w:p>
    <w:p>
      <w:pPr>
        <w:keepNext w:val="0"/>
        <w:keepLines w:val="0"/>
        <w:pageBreakBefore w:val="0"/>
        <w:kinsoku/>
        <w:wordWrap/>
        <w:overflowPunct/>
        <w:topLinePunct w:val="0"/>
        <w:autoSpaceDE/>
        <w:autoSpaceDN/>
        <w:bidi w:val="0"/>
        <w:adjustRightInd w:val="0"/>
        <w:snapToGrid/>
        <w:spacing w:line="460" w:lineRule="exact"/>
        <w:ind w:left="420" w:leftChars="200" w:firstLine="0" w:firstLineChars="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《电业安全工作规程》(发电厂和变电站电气部分)  GB 26860-2011</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《导体和电器选择设计技术规定》                DL/T5222-2005</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《电力设备典型消防规程》                        DL5027-2015 </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《电力工程电缆设计</w:t>
      </w:r>
      <w:r>
        <w:rPr>
          <w:rFonts w:hint="default" w:ascii="Times New Roman" w:hAnsi="Times New Roman" w:cs="Times New Roman"/>
          <w:color w:val="auto"/>
          <w:sz w:val="24"/>
          <w:szCs w:val="24"/>
          <w:highlight w:val="none"/>
          <w:lang w:val="en-US" w:eastAsia="zh-CN"/>
        </w:rPr>
        <w:t>标准</w:t>
      </w:r>
      <w:r>
        <w:rPr>
          <w:rFonts w:hint="default" w:ascii="Times New Roman" w:hAnsi="Times New Roman" w:cs="Times New Roman"/>
          <w:color w:val="auto"/>
          <w:sz w:val="24"/>
          <w:szCs w:val="24"/>
          <w:highlight w:val="none"/>
        </w:rPr>
        <w:t>》                       GB50217-20</w:t>
      </w:r>
      <w:r>
        <w:rPr>
          <w:rFonts w:hint="default" w:ascii="Times New Roman" w:hAnsi="Times New Roman" w:cs="Times New Roman"/>
          <w:color w:val="auto"/>
          <w:sz w:val="24"/>
          <w:szCs w:val="24"/>
          <w:highlight w:val="none"/>
          <w:lang w:val="en-US" w:eastAsia="zh-CN"/>
        </w:rPr>
        <w:t>18</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《地下水质量标准》                            GBT14848-2017</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80" w:name="_Toc296606686"/>
      <w:bookmarkStart w:id="281" w:name="_Toc2403"/>
      <w:bookmarkStart w:id="282" w:name="_Toc81"/>
      <w:r>
        <w:rPr>
          <w:rFonts w:hint="default" w:ascii="Times New Roman" w:hAnsi="Times New Roman" w:cs="Times New Roman"/>
          <w:color w:val="auto"/>
          <w:kern w:val="21"/>
          <w:sz w:val="24"/>
          <w:szCs w:val="24"/>
          <w:highlight w:val="none"/>
        </w:rPr>
        <w:t>8.1  防火、防爆</w:t>
      </w:r>
      <w:bookmarkEnd w:id="280"/>
      <w:bookmarkEnd w:id="281"/>
      <w:bookmarkEnd w:id="282"/>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防火、防爆设计本着预防为主、防消结合的原则。各建（构）筑物的最小间距、最低耐火等级均严格按照《建筑设计防火规范》(GB50016-2014)进行设计。全站设置完善的防火、灭火设施，站区道路满足消防要求。</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8.1.1  消防设施</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本工程的主要消防设施有：各建筑物按规定配备有相应的化学灭火器。火灾探测报警与控制系统。</w:t>
      </w:r>
    </w:p>
    <w:p>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8.1.2  建（构）筑物的防火、防爆</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（1）建（构）筑物的安全间距</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各建筑物、屋外配电装置构架及设备支架间的最小间距，均按照《建筑设计防火规范》GB50016-2014中规定的耐火等级为二级的建（构）筑物最小间距的要求进行设计。</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（2）建（构）筑物的火灾危险性及其最低耐火等级</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根据变电站的生产运行特点，各建（构）筑物在其生产工程中的火灾危险性确定为戊级，最低耐火等级为二级，满足《建筑设计防火规范》GB50016-2014的规定。</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（3）安全通道和出入口</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建筑物按照有关规定设置了安全出入口。</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（4）消防报警</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为保证在发生火灾时能及时报警，按照有关规定的要求，最终在主要生产用房，如二次设备室、10kV配电装置室等重要场所设置火灾探测报警装置。</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（5）建筑物室内防火措施</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为保证室内的防火安全，室内装修采用难燃材料进行装修，并按有关规定要求设置移动式灭火器。</w:t>
      </w:r>
    </w:p>
    <w:p>
      <w:pPr>
        <w:keepNext w:val="0"/>
        <w:keepLines w:val="0"/>
        <w:pageBreakBefore w:val="0"/>
        <w:widowControl w:val="0"/>
        <w:kinsoku/>
        <w:wordWrap/>
        <w:overflowPunct/>
        <w:topLinePunct w:val="0"/>
        <w:autoSpaceDE/>
        <w:autoSpaceDN/>
        <w:bidi w:val="0"/>
        <w:adjustRightInd w:val="0"/>
        <w:snapToGrid/>
        <w:spacing w:line="460" w:lineRule="exact"/>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8.1.3 电气设备的防火、防爆</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变电站现场设防火器材，生产房间设灭火器等。</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rPr>
        <w:t>电缆沟内分段设置防火墙，室内电缆穿墙进入盘、柜处进行封堵和刷防火涂料。</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83" w:name="_Toc20975"/>
      <w:bookmarkStart w:id="284" w:name="_Toc296606687"/>
      <w:bookmarkStart w:id="285" w:name="_Toc9954"/>
      <w:r>
        <w:rPr>
          <w:rFonts w:hint="default" w:ascii="Times New Roman" w:hAnsi="Times New Roman" w:cs="Times New Roman"/>
          <w:color w:val="auto"/>
          <w:kern w:val="21"/>
          <w:sz w:val="24"/>
          <w:szCs w:val="24"/>
          <w:highlight w:val="none"/>
        </w:rPr>
        <w:t>8.2  防毒、防化学伤害</w:t>
      </w:r>
      <w:bookmarkEnd w:id="283"/>
      <w:bookmarkEnd w:id="284"/>
      <w:bookmarkEnd w:id="285"/>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站内产生有毒、有化学污染危害的设备主要是蓄电池组。对可能产生有毒、有害的设备和场所，采取了以下措施加以防治。</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kern w:val="4"/>
          <w:sz w:val="24"/>
          <w:szCs w:val="24"/>
          <w:highlight w:val="none"/>
        </w:rPr>
      </w:pPr>
      <w:r>
        <w:rPr>
          <w:rFonts w:hint="default" w:ascii="Times New Roman" w:hAnsi="Times New Roman" w:cs="Times New Roman"/>
          <w:color w:val="auto"/>
          <w:kern w:val="4"/>
          <w:sz w:val="24"/>
          <w:szCs w:val="24"/>
          <w:highlight w:val="none"/>
        </w:rPr>
        <w:t>（1）选用阀控式密封铅酸蓄电池组。</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kern w:val="4"/>
          <w:sz w:val="24"/>
          <w:szCs w:val="24"/>
          <w:highlight w:val="none"/>
        </w:rPr>
        <w:t>（2）安装蓄电池的房间安装通风装置，以保证室内通风良好。</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86" w:name="_Toc5959"/>
      <w:bookmarkStart w:id="287" w:name="_Toc296606688"/>
      <w:bookmarkStart w:id="288" w:name="_Toc23410"/>
      <w:r>
        <w:rPr>
          <w:rFonts w:hint="default" w:ascii="Times New Roman" w:hAnsi="Times New Roman" w:cs="Times New Roman"/>
          <w:color w:val="auto"/>
          <w:kern w:val="21"/>
          <w:sz w:val="24"/>
          <w:szCs w:val="24"/>
          <w:highlight w:val="none"/>
        </w:rPr>
        <w:t>8.3  防电伤、防机械伤害及其它伤害</w:t>
      </w:r>
      <w:bookmarkEnd w:id="286"/>
      <w:bookmarkEnd w:id="287"/>
      <w:bookmarkEnd w:id="288"/>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为保证电气设备的安全运行及工作人员的操作安全，对全站的防雷接地、电气设备的接地安全措施等均严格按照有关规程规定进行设计。</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（1）本工程采用具有“五防”功能的设备，远方监控及就地操作均考虑了隔离开关防误操作功能。</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（2）电气布置上保证各带电体的安全距离。</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（3）全站防雷接地设计遵循《交流电气装置的接地》、《交流电气装置的过电压保护和绝缘配合》的要求，全站设置统一的防雷接地网。接地电阻满足规程要求，保证人员和设备安全。</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（4）全站的电气设备采用接地保护措施。即所有的电气设备外壳及需要接地的设备均采用此保护，接地点的设备及其连线均有可靠的电气连线。</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（5）照明设备接零保护：本工程所有照明设备安有关规定均采用接零保护措施。</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89" w:name="_Toc19693"/>
      <w:bookmarkStart w:id="290" w:name="_Toc296606689"/>
      <w:bookmarkStart w:id="291" w:name="_Toc13109"/>
      <w:r>
        <w:rPr>
          <w:rFonts w:hint="default" w:ascii="Times New Roman" w:hAnsi="Times New Roman" w:cs="Times New Roman"/>
          <w:color w:val="auto"/>
          <w:kern w:val="21"/>
          <w:sz w:val="24"/>
          <w:szCs w:val="24"/>
          <w:highlight w:val="none"/>
        </w:rPr>
        <w:t>8.4  防暑降温</w:t>
      </w:r>
      <w:bookmarkEnd w:id="289"/>
      <w:bookmarkEnd w:id="290"/>
      <w:bookmarkEnd w:id="291"/>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在人员相对集中的场所，根据工艺专业的要求及暖通技术规定的有关条文，均设有空调和良好的照明装置，为工作人员创造一个良好的工作环境。</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bookmarkStart w:id="292" w:name="_Toc29479"/>
      <w:bookmarkStart w:id="293" w:name="_Toc296606690"/>
      <w:r>
        <w:rPr>
          <w:rFonts w:hint="default" w:ascii="Times New Roman" w:hAnsi="Times New Roman" w:cs="Times New Roman"/>
          <w:snapToGrid w:val="0"/>
          <w:color w:val="auto"/>
          <w:kern w:val="21"/>
          <w:sz w:val="24"/>
          <w:szCs w:val="24"/>
          <w:highlight w:val="none"/>
        </w:rPr>
        <w:t>10kV配电装置室设有机械通风装置，通风方式为自然进风、机械排风。</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94" w:name="_Toc181"/>
      <w:r>
        <w:rPr>
          <w:rFonts w:hint="default" w:ascii="Times New Roman" w:hAnsi="Times New Roman" w:cs="Times New Roman"/>
          <w:color w:val="auto"/>
          <w:kern w:val="21"/>
          <w:sz w:val="24"/>
          <w:szCs w:val="24"/>
          <w:highlight w:val="none"/>
        </w:rPr>
        <w:t>8.5  防噪声</w:t>
      </w:r>
      <w:bookmarkEnd w:id="292"/>
      <w:bookmarkEnd w:id="293"/>
      <w:bookmarkEnd w:id="294"/>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变电站的噪声主要来自主变压器和断路器等电气设备，其噪声主要是电磁噪声。</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噪声防治措施：变电站噪声控制执行现行的《工业企业厂界噪声标准》和《工业企业噪声控制设计规范》。本工程进行站区总平面布置时，考虑到噪声对变电站运行检修人员的影响，对人员集中的生产综合楼等尽可能布置远离主变压器、断路器等噪声源的地方，使变电站室内噪声控制在标准允值内。</w:t>
      </w:r>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textAlignment w:val="auto"/>
        <w:outlineLvl w:val="1"/>
        <w:rPr>
          <w:rFonts w:hint="default" w:ascii="Times New Roman" w:hAnsi="Times New Roman" w:cs="Times New Roman"/>
          <w:color w:val="auto"/>
          <w:kern w:val="21"/>
          <w:sz w:val="24"/>
          <w:szCs w:val="24"/>
          <w:highlight w:val="none"/>
        </w:rPr>
      </w:pPr>
      <w:bookmarkStart w:id="295" w:name="_Toc17608"/>
      <w:bookmarkStart w:id="296" w:name="_Toc22504"/>
      <w:bookmarkStart w:id="297" w:name="_Toc296606691"/>
      <w:r>
        <w:rPr>
          <w:rFonts w:hint="default" w:ascii="Times New Roman" w:hAnsi="Times New Roman" w:cs="Times New Roman"/>
          <w:color w:val="auto"/>
          <w:kern w:val="21"/>
          <w:sz w:val="24"/>
          <w:szCs w:val="24"/>
          <w:highlight w:val="none"/>
        </w:rPr>
        <w:t>8.6  防电磁辐射</w:t>
      </w:r>
      <w:bookmarkEnd w:id="295"/>
      <w:bookmarkEnd w:id="296"/>
      <w:bookmarkEnd w:id="297"/>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rPr>
        <w:t>本设计方案对电气设备进行合理布局，保证导体、电气设备安全距离符合规定要求；选用电磁辐射水平低的设备；可以减小电磁辐射对环境的影响。另外，为了避免电磁辐射对变电站工作人员可能造成的危害，在生产运行过程中，对变电站的检修、调试人员采取局部屏蔽和限制工作时间等保护措施。</w:t>
      </w:r>
    </w:p>
    <w:bookmarkEnd w:id="174"/>
    <w:bookmarkEnd w:id="175"/>
    <w:bookmarkEnd w:id="176"/>
    <w:bookmarkEnd w:id="177"/>
    <w:bookmarkEnd w:id="178"/>
    <w:bookmarkEnd w:id="179"/>
    <w:bookmarkEnd w:id="180"/>
    <w:bookmarkEnd w:id="209"/>
    <w:bookmarkEnd w:id="210"/>
    <w:bookmarkEnd w:id="261"/>
    <w:bookmarkEnd w:id="262"/>
    <w:bookmarkEnd w:id="263"/>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Style w:val="346"/>
          <w:rFonts w:hint="default" w:ascii="Times New Roman" w:hAnsi="Times New Roman" w:cs="Times New Roman"/>
          <w:color w:val="auto"/>
          <w:sz w:val="24"/>
          <w:szCs w:val="24"/>
          <w:highlight w:val="none"/>
          <w:lang w:val="en-US" w:eastAsia="zh-CN"/>
        </w:rPr>
      </w:pPr>
      <w:bookmarkStart w:id="298" w:name="_Toc388"/>
      <w:bookmarkStart w:id="299" w:name="_Toc3614"/>
      <w:bookmarkStart w:id="300" w:name="_Toc12016"/>
      <w:bookmarkStart w:id="301" w:name="_Toc16775"/>
      <w:r>
        <w:rPr>
          <w:rStyle w:val="346"/>
          <w:rFonts w:hint="default" w:ascii="Times New Roman" w:hAnsi="Times New Roman" w:cs="Times New Roman"/>
          <w:color w:val="auto"/>
          <w:sz w:val="24"/>
          <w:szCs w:val="24"/>
          <w:highlight w:val="none"/>
          <w:lang w:val="en-US" w:eastAsia="zh-CN"/>
        </w:rPr>
        <w:t>9  对端间隔</w:t>
      </w:r>
      <w:bookmarkEnd w:id="298"/>
      <w:bookmarkEnd w:id="299"/>
    </w:p>
    <w:p>
      <w:pPr>
        <w:keepNext w:val="0"/>
        <w:keepLines w:val="0"/>
        <w:pageBreakBefore w:val="0"/>
        <w:widowControl/>
        <w:tabs>
          <w:tab w:val="left" w:pos="360"/>
          <w:tab w:val="left" w:pos="540"/>
          <w:tab w:val="left" w:pos="567"/>
          <w:tab w:val="left" w:pos="897"/>
        </w:tabs>
        <w:kinsoku/>
        <w:wordWrap/>
        <w:overflowPunct/>
        <w:topLinePunct w:val="0"/>
        <w:autoSpaceDE/>
        <w:autoSpaceDN/>
        <w:bidi w:val="0"/>
        <w:adjustRightInd w:val="0"/>
        <w:snapToGrid/>
        <w:spacing w:line="460" w:lineRule="exact"/>
        <w:outlineLvl w:val="1"/>
        <w:rPr>
          <w:rFonts w:hint="default" w:ascii="Times New Roman" w:hAnsi="Times New Roman" w:cs="Times New Roman"/>
          <w:color w:val="auto"/>
          <w:kern w:val="21"/>
          <w:sz w:val="24"/>
          <w:szCs w:val="24"/>
          <w:highlight w:val="none"/>
          <w:lang w:val="en-US" w:eastAsia="zh-CN"/>
        </w:rPr>
      </w:pPr>
      <w:bookmarkStart w:id="302" w:name="_Toc13019"/>
      <w:bookmarkStart w:id="303" w:name="_Toc17508"/>
      <w:r>
        <w:rPr>
          <w:rFonts w:hint="default" w:ascii="Times New Roman" w:hAnsi="Times New Roman" w:cs="Times New Roman"/>
          <w:color w:val="auto"/>
          <w:kern w:val="21"/>
          <w:sz w:val="24"/>
          <w:szCs w:val="24"/>
          <w:highlight w:val="none"/>
          <w:lang w:val="en-US" w:eastAsia="zh-CN"/>
        </w:rPr>
        <w:t>9.1  220kV杜家庵变电站</w:t>
      </w:r>
      <w:bookmarkEnd w:id="302"/>
      <w:bookmarkEnd w:id="303"/>
    </w:p>
    <w:p>
      <w:pPr>
        <w:keepNext w:val="0"/>
        <w:keepLines w:val="0"/>
        <w:pageBreakBefore w:val="0"/>
        <w:kinsoku/>
        <w:wordWrap/>
        <w:overflowPunct/>
        <w:topLinePunct w:val="0"/>
        <w:autoSpaceDE/>
        <w:autoSpaceDN/>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bookmarkStart w:id="304" w:name="_Toc314056417"/>
      <w:bookmarkStart w:id="305" w:name="_Toc342315753"/>
      <w:bookmarkStart w:id="306" w:name="_Toc273456271"/>
      <w:bookmarkStart w:id="307" w:name="_Toc342315754"/>
      <w:bookmarkStart w:id="308" w:name="_Toc314056418"/>
      <w:r>
        <w:rPr>
          <w:rFonts w:hint="default" w:ascii="Times New Roman" w:hAnsi="Times New Roman" w:eastAsia="宋体" w:cs="Times New Roman"/>
          <w:snapToGrid w:val="0"/>
          <w:color w:val="auto"/>
          <w:kern w:val="18"/>
          <w:sz w:val="24"/>
          <w:szCs w:val="24"/>
          <w:highlight w:val="none"/>
          <w:lang w:val="en-US" w:eastAsia="zh-CN"/>
        </w:rPr>
        <w:t>9.1.1 电气一次</w:t>
      </w:r>
    </w:p>
    <w:p>
      <w:pPr>
        <w:keepNext w:val="0"/>
        <w:keepLines w:val="0"/>
        <w:pageBreakBefore w:val="0"/>
        <w:kinsoku/>
        <w:wordWrap/>
        <w:overflowPunct/>
        <w:topLinePunct w:val="0"/>
        <w:autoSpaceDE/>
        <w:autoSpaceDN/>
        <w:bidi w:val="0"/>
        <w:snapToGrid/>
        <w:spacing w:line="460" w:lineRule="exact"/>
        <w:jc w:val="left"/>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snapToGrid w:val="0"/>
          <w:color w:val="auto"/>
          <w:kern w:val="18"/>
          <w:sz w:val="24"/>
          <w:szCs w:val="24"/>
          <w:highlight w:val="none"/>
          <w:lang w:val="en-US" w:eastAsia="zh-CN"/>
        </w:rPr>
        <w:t>9</w:t>
      </w:r>
      <w:r>
        <w:rPr>
          <w:rFonts w:hint="default" w:ascii="Times New Roman" w:hAnsi="Times New Roman" w:eastAsia="宋体" w:cs="Times New Roman"/>
          <w:snapToGrid w:val="0"/>
          <w:color w:val="auto"/>
          <w:kern w:val="18"/>
          <w:sz w:val="24"/>
          <w:szCs w:val="24"/>
          <w:highlight w:val="none"/>
          <w:lang w:val="zh-CN" w:eastAsia="zh-CN"/>
        </w:rPr>
        <w:t>.1.1.1  变电</w:t>
      </w:r>
      <w:r>
        <w:rPr>
          <w:rFonts w:hint="default" w:ascii="Times New Roman" w:hAnsi="Times New Roman" w:eastAsia="宋体" w:cs="Times New Roman"/>
          <w:color w:val="auto"/>
          <w:sz w:val="24"/>
          <w:szCs w:val="24"/>
          <w:highlight w:val="none"/>
          <w:lang w:val="zh-CN"/>
        </w:rPr>
        <w:t>站概况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default" w:ascii="Times New Roman" w:hAnsi="Times New Roman" w:eastAsia="宋体" w:cs="Times New Roman"/>
          <w:snapToGrid w:val="0"/>
          <w:color w:val="auto"/>
          <w:sz w:val="24"/>
          <w:szCs w:val="24"/>
          <w:highlight w:val="none"/>
          <w:lang w:val="zh-CN"/>
        </w:rPr>
      </w:pPr>
      <w:r>
        <w:rPr>
          <w:rFonts w:hint="default" w:ascii="Times New Roman" w:hAnsi="Times New Roman" w:cs="Times New Roman"/>
          <w:snapToGrid w:val="0"/>
          <w:color w:val="auto"/>
          <w:kern w:val="28"/>
          <w:sz w:val="24"/>
          <w:szCs w:val="24"/>
          <w:highlight w:val="none"/>
        </w:rPr>
        <w:t>杜家庵220kV变电站位于安阳市龙安区东风乡杜家庵村，距市区7km，一期工程于1991年11月底投运，二期工程于1995年7月底投运，2008年110kV配电装置改造为屋外GIS布置，同时进行全站计算机监控综自系统改造。2015年10月220kV杜家庵变电站增容改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snapToGrid w:val="0"/>
          <w:color w:val="auto"/>
          <w:kern w:val="28"/>
          <w:sz w:val="24"/>
          <w:szCs w:val="24"/>
          <w:highlight w:val="none"/>
        </w:rPr>
        <w:t>主变压器已建2×240MVA，规划3×240MVA，电压等级220/110/10kV。110kV配电装置为户外GIS设备，规划双母线接线，出线12回，已建双母线接线，出线9回，由</w:t>
      </w:r>
      <w:r>
        <w:rPr>
          <w:rFonts w:hint="default" w:ascii="Times New Roman" w:hAnsi="Times New Roman" w:cs="Times New Roman"/>
          <w:snapToGrid w:val="0"/>
          <w:color w:val="auto"/>
          <w:kern w:val="28"/>
          <w:sz w:val="24"/>
          <w:szCs w:val="24"/>
          <w:highlight w:val="none"/>
          <w:lang w:eastAsia="zh-CN"/>
        </w:rPr>
        <w:t>东</w:t>
      </w:r>
      <w:r>
        <w:rPr>
          <w:rFonts w:hint="default" w:ascii="Times New Roman" w:hAnsi="Times New Roman" w:cs="Times New Roman"/>
          <w:snapToGrid w:val="0"/>
          <w:color w:val="auto"/>
          <w:kern w:val="28"/>
          <w:sz w:val="24"/>
          <w:szCs w:val="24"/>
          <w:highlight w:val="none"/>
        </w:rPr>
        <w:t>向</w:t>
      </w:r>
      <w:r>
        <w:rPr>
          <w:rFonts w:hint="default" w:ascii="Times New Roman" w:hAnsi="Times New Roman" w:cs="Times New Roman"/>
          <w:snapToGrid w:val="0"/>
          <w:color w:val="auto"/>
          <w:kern w:val="28"/>
          <w:sz w:val="24"/>
          <w:szCs w:val="24"/>
          <w:highlight w:val="none"/>
          <w:lang w:eastAsia="zh-CN"/>
        </w:rPr>
        <w:t>西</w:t>
      </w:r>
      <w:r>
        <w:rPr>
          <w:rFonts w:hint="default" w:ascii="Times New Roman" w:hAnsi="Times New Roman" w:cs="Times New Roman"/>
          <w:snapToGrid w:val="0"/>
          <w:color w:val="auto"/>
          <w:kern w:val="28"/>
          <w:sz w:val="24"/>
          <w:szCs w:val="24"/>
          <w:highlight w:val="none"/>
        </w:rPr>
        <w:t>依次为：杜香、Ⅱ杜峨、创杜、I杜南、杜中、杜刘、杜东、</w:t>
      </w:r>
      <w:r>
        <w:rPr>
          <w:rFonts w:hint="default" w:ascii="Times New Roman" w:hAnsi="Times New Roman" w:cs="Times New Roman"/>
          <w:snapToGrid w:val="0"/>
          <w:color w:val="auto"/>
          <w:kern w:val="28"/>
          <w:sz w:val="24"/>
          <w:szCs w:val="24"/>
          <w:highlight w:val="none"/>
          <w:lang w:val="en-US" w:eastAsia="zh-CN"/>
        </w:rPr>
        <w:t>杜庄、</w:t>
      </w:r>
      <w:r>
        <w:rPr>
          <w:rFonts w:hint="default" w:ascii="Times New Roman" w:hAnsi="Times New Roman" w:cs="Times New Roman"/>
          <w:snapToGrid w:val="0"/>
          <w:color w:val="auto"/>
          <w:kern w:val="28"/>
          <w:sz w:val="24"/>
          <w:szCs w:val="24"/>
          <w:highlight w:val="none"/>
        </w:rPr>
        <w:t>杜青线。布置于变电站北部，向北</w:t>
      </w:r>
      <w:r>
        <w:rPr>
          <w:rFonts w:hint="default" w:ascii="Times New Roman" w:hAnsi="Times New Roman" w:cs="Times New Roman"/>
          <w:snapToGrid w:val="0"/>
          <w:color w:val="auto"/>
          <w:kern w:val="28"/>
          <w:sz w:val="24"/>
          <w:szCs w:val="24"/>
          <w:highlight w:val="none"/>
          <w:lang w:val="en-US" w:eastAsia="zh-CN"/>
        </w:rPr>
        <w:t>架空</w:t>
      </w:r>
      <w:r>
        <w:rPr>
          <w:rFonts w:hint="default" w:ascii="Times New Roman" w:hAnsi="Times New Roman" w:cs="Times New Roman"/>
          <w:snapToGrid w:val="0"/>
          <w:color w:val="auto"/>
          <w:kern w:val="28"/>
          <w:sz w:val="24"/>
          <w:szCs w:val="24"/>
          <w:highlight w:val="none"/>
        </w:rPr>
        <w:t>出线。</w:t>
      </w:r>
    </w:p>
    <w:p>
      <w:pPr>
        <w:keepNext w:val="0"/>
        <w:keepLines w:val="0"/>
        <w:pageBreakBefore w:val="0"/>
        <w:kinsoku/>
        <w:wordWrap/>
        <w:overflowPunct/>
        <w:topLinePunct w:val="0"/>
        <w:autoSpaceDE/>
        <w:autoSpaceDN/>
        <w:bidi w:val="0"/>
        <w:snapToGrid/>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9.1.1.2 本期工程规模</w:t>
      </w:r>
    </w:p>
    <w:p>
      <w:pPr>
        <w:keepNext w:val="0"/>
        <w:keepLines w:val="0"/>
        <w:pageBreakBefore w:val="0"/>
        <w:kinsoku/>
        <w:wordWrap/>
        <w:overflowPunct/>
        <w:topLinePunct w:val="0"/>
        <w:autoSpaceDE/>
        <w:autoSpaceDN/>
        <w:bidi w:val="0"/>
        <w:snapToGrid/>
        <w:spacing w:line="460" w:lineRule="exact"/>
        <w:ind w:firstLine="240" w:firstLineChars="1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（1）拟建工程</w:t>
      </w:r>
    </w:p>
    <w:p>
      <w:pPr>
        <w:pStyle w:val="2"/>
        <w:keepNext w:val="0"/>
        <w:keepLines w:val="0"/>
        <w:pageBreakBefore w:val="0"/>
        <w:kinsoku/>
        <w:wordWrap/>
        <w:overflowPunct/>
        <w:topLinePunct w:val="0"/>
        <w:autoSpaceDE/>
        <w:autoSpaceDN/>
        <w:bidi w:val="0"/>
        <w:snapToGrid/>
        <w:spacing w:line="460" w:lineRule="exact"/>
        <w:rPr>
          <w:rFonts w:hint="default" w:ascii="Times New Roman" w:hAnsi="Times New Roman" w:cs="Times New Roman"/>
          <w:snapToGrid w:val="0"/>
          <w:color w:val="auto"/>
          <w:kern w:val="28"/>
          <w:sz w:val="24"/>
          <w:szCs w:val="24"/>
          <w:highlight w:val="none"/>
          <w:lang w:val="en-US" w:eastAsia="zh-CN"/>
        </w:rPr>
      </w:pPr>
      <w:r>
        <w:rPr>
          <w:rFonts w:hint="default" w:ascii="Times New Roman" w:hAnsi="Times New Roman" w:cs="Times New Roman"/>
          <w:snapToGrid w:val="0"/>
          <w:color w:val="auto"/>
          <w:kern w:val="28"/>
          <w:sz w:val="24"/>
          <w:szCs w:val="24"/>
          <w:highlight w:val="none"/>
          <w:lang w:val="en-US" w:eastAsia="zh-CN"/>
        </w:rPr>
        <w:t>拟建安阳市杜家庵-马投涧（香木）110千伏II回线路工程，220kV杜家庵变110kV侧新建1回完整出线间隔至马投涧（香木）变，占用220kV杜家庵变东数第六出线间隔;一回不完整出线间隔占用220kV杜家庵变东数第十出线间隔。</w:t>
      </w:r>
    </w:p>
    <w:p>
      <w:pPr>
        <w:keepNext w:val="0"/>
        <w:keepLines w:val="0"/>
        <w:pageBreakBefore w:val="0"/>
        <w:kinsoku/>
        <w:wordWrap/>
        <w:overflowPunct/>
        <w:topLinePunct w:val="0"/>
        <w:autoSpaceDE/>
        <w:autoSpaceDN/>
        <w:bidi w:val="0"/>
        <w:snapToGrid/>
        <w:spacing w:line="460" w:lineRule="exact"/>
        <w:ind w:firstLine="240" w:firstLineChars="1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 本期工程</w:t>
      </w:r>
    </w:p>
    <w:p>
      <w:pPr>
        <w:pStyle w:val="2"/>
        <w:keepNext w:val="0"/>
        <w:keepLines w:val="0"/>
        <w:pageBreakBefore w:val="0"/>
        <w:kinsoku/>
        <w:wordWrap/>
        <w:overflowPunct/>
        <w:topLinePunct w:val="0"/>
        <w:autoSpaceDE/>
        <w:autoSpaceDN/>
        <w:bidi w:val="0"/>
        <w:snapToGrid/>
        <w:spacing w:line="460" w:lineRule="exact"/>
        <w:rPr>
          <w:rFonts w:hint="default" w:ascii="Times New Roman" w:hAnsi="Times New Roman" w:eastAsia="宋体" w:cs="Times New Roman"/>
          <w:snapToGrid w:val="0"/>
          <w:color w:val="auto"/>
          <w:kern w:val="28"/>
          <w:sz w:val="24"/>
          <w:szCs w:val="24"/>
          <w:highlight w:val="none"/>
          <w:lang w:val="en-US" w:eastAsia="zh-CN"/>
        </w:rPr>
      </w:pPr>
      <w:r>
        <w:rPr>
          <w:rFonts w:hint="default" w:ascii="Times New Roman" w:hAnsi="Times New Roman" w:cs="Times New Roman"/>
          <w:snapToGrid w:val="0"/>
          <w:color w:val="auto"/>
          <w:kern w:val="28"/>
          <w:sz w:val="24"/>
          <w:szCs w:val="24"/>
          <w:highlight w:val="none"/>
          <w:lang w:val="en-US" w:eastAsia="zh-CN"/>
        </w:rPr>
        <w:t>本期110kV青山变1#主变增容工程，</w:t>
      </w:r>
      <w:r>
        <w:rPr>
          <w:rFonts w:hint="default" w:ascii="Times New Roman" w:hAnsi="Times New Roman" w:cs="Times New Roman"/>
          <w:snapToGrid w:val="0"/>
          <w:color w:val="auto"/>
          <w:kern w:val="28"/>
          <w:sz w:val="24"/>
          <w:szCs w:val="24"/>
          <w:highlight w:val="none"/>
        </w:rPr>
        <w:t>杜家庵变侧</w:t>
      </w:r>
      <w:r>
        <w:rPr>
          <w:rFonts w:hint="default" w:ascii="Times New Roman" w:hAnsi="Times New Roman" w:cs="Times New Roman"/>
          <w:snapToGrid w:val="0"/>
          <w:color w:val="auto"/>
          <w:kern w:val="28"/>
          <w:sz w:val="24"/>
          <w:szCs w:val="24"/>
          <w:highlight w:val="none"/>
          <w:lang w:val="en-US" w:eastAsia="zh-CN"/>
        </w:rPr>
        <w:t>沿用</w:t>
      </w:r>
      <w:r>
        <w:rPr>
          <w:rFonts w:hint="default" w:ascii="Times New Roman" w:hAnsi="Times New Roman" w:cs="Times New Roman"/>
          <w:snapToGrid w:val="0"/>
          <w:color w:val="auto"/>
          <w:kern w:val="28"/>
          <w:sz w:val="24"/>
          <w:szCs w:val="24"/>
          <w:highlight w:val="none"/>
        </w:rPr>
        <w:t>原杜</w:t>
      </w:r>
      <w:r>
        <w:rPr>
          <w:rFonts w:hint="default" w:ascii="Times New Roman" w:hAnsi="Times New Roman" w:cs="Times New Roman"/>
          <w:snapToGrid w:val="0"/>
          <w:color w:val="auto"/>
          <w:kern w:val="28"/>
          <w:sz w:val="24"/>
          <w:szCs w:val="24"/>
          <w:highlight w:val="none"/>
          <w:lang w:val="en-US" w:eastAsia="zh-CN"/>
        </w:rPr>
        <w:t>青</w:t>
      </w:r>
      <w:r>
        <w:rPr>
          <w:rFonts w:hint="default" w:ascii="Times New Roman" w:hAnsi="Times New Roman" w:cs="Times New Roman"/>
          <w:snapToGrid w:val="0"/>
          <w:color w:val="auto"/>
          <w:kern w:val="28"/>
          <w:sz w:val="24"/>
          <w:szCs w:val="24"/>
          <w:highlight w:val="none"/>
        </w:rPr>
        <w:t>线间隔</w:t>
      </w:r>
      <w:r>
        <w:rPr>
          <w:rFonts w:hint="default" w:ascii="Times New Roman" w:hAnsi="Times New Roman" w:cs="Times New Roman"/>
          <w:snapToGrid w:val="0"/>
          <w:color w:val="auto"/>
          <w:kern w:val="28"/>
          <w:sz w:val="24"/>
          <w:szCs w:val="24"/>
          <w:highlight w:val="none"/>
          <w:lang w:val="en-US" w:eastAsia="zh-CN"/>
        </w:rPr>
        <w:t>，</w:t>
      </w:r>
      <w:r>
        <w:rPr>
          <w:rFonts w:hint="default" w:ascii="Times New Roman" w:hAnsi="Times New Roman" w:cs="Times New Roman"/>
          <w:snapToGrid w:val="0"/>
          <w:color w:val="auto"/>
          <w:kern w:val="28"/>
          <w:sz w:val="24"/>
          <w:szCs w:val="24"/>
          <w:highlight w:val="none"/>
        </w:rPr>
        <w:t>即</w:t>
      </w:r>
      <w:r>
        <w:rPr>
          <w:rFonts w:hint="default" w:ascii="Times New Roman" w:hAnsi="Times New Roman" w:cs="Times New Roman"/>
          <w:snapToGrid w:val="0"/>
          <w:color w:val="auto"/>
          <w:kern w:val="28"/>
          <w:sz w:val="24"/>
          <w:szCs w:val="24"/>
          <w:highlight w:val="none"/>
          <w:lang w:val="zh-CN"/>
        </w:rPr>
        <w:t>东数第十</w:t>
      </w:r>
      <w:r>
        <w:rPr>
          <w:rFonts w:hint="default" w:ascii="Times New Roman" w:hAnsi="Times New Roman" w:cs="Times New Roman"/>
          <w:snapToGrid w:val="0"/>
          <w:color w:val="auto"/>
          <w:kern w:val="28"/>
          <w:sz w:val="24"/>
          <w:szCs w:val="24"/>
          <w:highlight w:val="none"/>
          <w:lang w:val="en-US" w:eastAsia="zh-CN"/>
        </w:rPr>
        <w:t>二</w:t>
      </w:r>
      <w:r>
        <w:rPr>
          <w:rFonts w:hint="default" w:ascii="Times New Roman" w:hAnsi="Times New Roman" w:cs="Times New Roman"/>
          <w:snapToGrid w:val="0"/>
          <w:color w:val="auto"/>
          <w:kern w:val="28"/>
          <w:sz w:val="24"/>
          <w:szCs w:val="24"/>
          <w:highlight w:val="none"/>
          <w:lang w:val="zh-CN"/>
        </w:rPr>
        <w:t>个出线间隔。</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snapToGrid w:val="0"/>
          <w:color w:val="auto"/>
          <w:kern w:val="28"/>
          <w:sz w:val="24"/>
          <w:szCs w:val="24"/>
          <w:highlight w:val="none"/>
        </w:rPr>
        <w:t>110kV设备间隔排布依次如下：</w:t>
      </w: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zh-CN"/>
        </w:rPr>
        <w:t xml:space="preserve">                              </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snapToGrid w:val="0"/>
          <w:color w:val="auto"/>
          <w:kern w:val="28"/>
          <w:sz w:val="24"/>
          <w:szCs w:val="24"/>
          <w:highlight w:val="none"/>
        </w:rPr>
        <w:drawing>
          <wp:inline distT="0" distB="0" distL="114300" distR="114300">
            <wp:extent cx="628650" cy="11430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3"/>
                    <a:stretch>
                      <a:fillRect/>
                    </a:stretch>
                  </pic:blipFill>
                  <pic:spPr>
                    <a:xfrm>
                      <a:off x="0" y="0"/>
                      <a:ext cx="628650" cy="114300"/>
                    </a:xfrm>
                    <a:prstGeom prst="rect">
                      <a:avLst/>
                    </a:prstGeom>
                    <a:noFill/>
                    <a:ln>
                      <a:noFill/>
                    </a:ln>
                  </pic:spPr>
                </pic:pic>
              </a:graphicData>
            </a:graphic>
          </wp:inline>
        </w:drawing>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snapToGrid w:val="0"/>
          <w:color w:val="auto"/>
          <w:kern w:val="28"/>
          <w:sz w:val="24"/>
          <w:szCs w:val="24"/>
          <w:highlight w:val="none"/>
        </w:rPr>
        <w:t>东</w:t>
      </w:r>
    </w:p>
    <w:tbl>
      <w:tblPr>
        <w:tblStyle w:val="50"/>
        <w:tblW w:w="95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8"/>
        <w:gridCol w:w="748"/>
        <w:gridCol w:w="743"/>
        <w:gridCol w:w="748"/>
        <w:gridCol w:w="745"/>
        <w:gridCol w:w="744"/>
        <w:gridCol w:w="744"/>
        <w:gridCol w:w="745"/>
        <w:gridCol w:w="747"/>
        <w:gridCol w:w="744"/>
        <w:gridCol w:w="745"/>
        <w:gridCol w:w="738"/>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98" w:type="dxa"/>
            <w:tcBorders>
              <w:top w:val="single" w:color="auto" w:sz="12" w:space="0"/>
              <w:left w:val="single" w:color="auto" w:sz="12"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序号</w:t>
            </w:r>
          </w:p>
        </w:tc>
        <w:tc>
          <w:tcPr>
            <w:tcW w:w="748"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12</w:t>
            </w:r>
          </w:p>
        </w:tc>
        <w:tc>
          <w:tcPr>
            <w:tcW w:w="743"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w:t>
            </w:r>
          </w:p>
        </w:tc>
        <w:tc>
          <w:tcPr>
            <w:tcW w:w="748"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10</w:t>
            </w:r>
          </w:p>
        </w:tc>
        <w:tc>
          <w:tcPr>
            <w:tcW w:w="745"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9</w:t>
            </w:r>
          </w:p>
        </w:tc>
        <w:tc>
          <w:tcPr>
            <w:tcW w:w="744"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8</w:t>
            </w:r>
          </w:p>
        </w:tc>
        <w:tc>
          <w:tcPr>
            <w:tcW w:w="744"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7</w:t>
            </w:r>
          </w:p>
        </w:tc>
        <w:tc>
          <w:tcPr>
            <w:tcW w:w="745"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6</w:t>
            </w:r>
          </w:p>
        </w:tc>
        <w:tc>
          <w:tcPr>
            <w:tcW w:w="747"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5</w:t>
            </w:r>
          </w:p>
        </w:tc>
        <w:tc>
          <w:tcPr>
            <w:tcW w:w="744"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4</w:t>
            </w:r>
          </w:p>
        </w:tc>
        <w:tc>
          <w:tcPr>
            <w:tcW w:w="745"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3</w:t>
            </w:r>
          </w:p>
        </w:tc>
        <w:tc>
          <w:tcPr>
            <w:tcW w:w="738"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2</w:t>
            </w:r>
          </w:p>
        </w:tc>
        <w:tc>
          <w:tcPr>
            <w:tcW w:w="726" w:type="dxa"/>
            <w:tcBorders>
              <w:top w:val="single" w:color="auto" w:sz="12" w:space="0"/>
              <w:left w:val="single" w:color="auto" w:sz="4" w:space="0"/>
              <w:bottom w:val="single" w:color="auto" w:sz="4" w:space="0"/>
              <w:right w:val="single" w:color="auto" w:sz="12"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tcBorders>
              <w:top w:val="single" w:color="auto" w:sz="4" w:space="0"/>
              <w:left w:val="single" w:color="auto" w:sz="12"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现状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杜青</w:t>
            </w:r>
          </w:p>
          <w:p>
            <w:pPr>
              <w:widowControl/>
              <w:tabs>
                <w:tab w:val="left" w:pos="680"/>
              </w:tabs>
              <w:jc w:val="center"/>
              <w:rPr>
                <w:rFonts w:hint="default" w:ascii="Times New Roman" w:hAnsi="Times New Roman" w:cs="Times New Roman"/>
                <w:color w:val="auto"/>
                <w:kern w:val="21"/>
                <w:sz w:val="24"/>
                <w:szCs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杜</w:t>
            </w:r>
            <w:r>
              <w:rPr>
                <w:rFonts w:hint="default" w:ascii="Times New Roman" w:hAnsi="Times New Roman" w:cs="Times New Roman"/>
                <w:color w:val="auto"/>
                <w:sz w:val="24"/>
                <w:szCs w:val="24"/>
                <w:highlight w:val="none"/>
                <w:lang w:val="en-US" w:eastAsia="zh-CN"/>
              </w:rPr>
              <w:t>庄</w:t>
            </w:r>
          </w:p>
          <w:p>
            <w:pPr>
              <w:widowControl/>
              <w:tabs>
                <w:tab w:val="left" w:pos="680"/>
              </w:tabs>
              <w:jc w:val="both"/>
              <w:rPr>
                <w:rFonts w:hint="default" w:ascii="Times New Roman" w:hAnsi="Times New Roman" w:cs="Times New Roman"/>
                <w:color w:val="auto"/>
                <w:kern w:val="21"/>
                <w:sz w:val="24"/>
                <w:szCs w:val="24"/>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cs="Times New Roman"/>
                <w:color w:val="auto"/>
                <w:kern w:val="21"/>
                <w:sz w:val="24"/>
                <w:szCs w:val="24"/>
                <w:highlight w:val="none"/>
              </w:rPr>
              <w:t>备用</w:t>
            </w:r>
            <w:r>
              <w:rPr>
                <w:rFonts w:hint="default" w:ascii="Times New Roman" w:hAnsi="Times New Roman" w:cs="Times New Roman"/>
                <w:color w:val="auto"/>
                <w:kern w:val="21"/>
                <w:sz w:val="24"/>
                <w:szCs w:val="24"/>
                <w:highlight w:val="none"/>
                <w:lang w:val="en-US" w:eastAsia="zh-CN"/>
              </w:rPr>
              <w:t>5</w:t>
            </w: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杜</w:t>
            </w:r>
            <w:r>
              <w:rPr>
                <w:rFonts w:hint="default" w:ascii="Times New Roman" w:hAnsi="Times New Roman" w:cs="Times New Roman"/>
                <w:color w:val="auto"/>
                <w:sz w:val="24"/>
                <w:szCs w:val="24"/>
                <w:highlight w:val="none"/>
                <w:lang w:val="en-US" w:eastAsia="zh-CN"/>
              </w:rPr>
              <w:t>东</w:t>
            </w:r>
          </w:p>
          <w:p>
            <w:pPr>
              <w:widowControl/>
              <w:tabs>
                <w:tab w:val="left" w:pos="680"/>
              </w:tabs>
              <w:jc w:val="both"/>
              <w:rPr>
                <w:rFonts w:hint="default" w:ascii="Times New Roman" w:hAnsi="Times New Roman" w:cs="Times New Roman"/>
                <w:color w:val="auto"/>
                <w:kern w:val="21"/>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杜刘</w:t>
            </w:r>
          </w:p>
          <w:p>
            <w:pPr>
              <w:widowControl/>
              <w:tabs>
                <w:tab w:val="left" w:pos="680"/>
              </w:tabs>
              <w:jc w:val="center"/>
              <w:rPr>
                <w:rFonts w:hint="default" w:ascii="Times New Roman" w:hAnsi="Times New Roman" w:cs="Times New Roman"/>
                <w:color w:val="auto"/>
                <w:kern w:val="21"/>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杜中</w:t>
            </w:r>
          </w:p>
          <w:p>
            <w:pPr>
              <w:widowControl/>
              <w:tabs>
                <w:tab w:val="left" w:pos="680"/>
              </w:tabs>
              <w:jc w:val="center"/>
              <w:rPr>
                <w:rFonts w:hint="default" w:ascii="Times New Roman" w:hAnsi="Times New Roman" w:cs="Times New Roman"/>
                <w:color w:val="auto"/>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备用</w:t>
            </w:r>
            <w:r>
              <w:rPr>
                <w:rFonts w:hint="default" w:ascii="Times New Roman" w:hAnsi="Times New Roman" w:cs="Times New Roman"/>
                <w:color w:val="auto"/>
                <w:sz w:val="24"/>
                <w:szCs w:val="24"/>
                <w:highlight w:val="none"/>
                <w:lang w:val="en-US" w:eastAsia="zh-CN"/>
              </w:rPr>
              <w:t>2</w:t>
            </w:r>
          </w:p>
        </w:tc>
        <w:tc>
          <w:tcPr>
            <w:tcW w:w="74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杜</w:t>
            </w:r>
          </w:p>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南</w:t>
            </w:r>
          </w:p>
        </w:tc>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备用</w:t>
            </w:r>
            <w:r>
              <w:rPr>
                <w:rFonts w:hint="default" w:ascii="Times New Roman" w:hAnsi="Times New Roman" w:cs="Times New Roman"/>
                <w:color w:val="auto"/>
                <w:sz w:val="24"/>
                <w:szCs w:val="24"/>
                <w:highlight w:val="none"/>
                <w:lang w:val="en-US" w:eastAsia="zh-CN"/>
              </w:rPr>
              <w:t>1</w:t>
            </w: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创杜</w:t>
            </w:r>
          </w:p>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线</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Ⅱ杜</w:t>
            </w:r>
          </w:p>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峨</w:t>
            </w:r>
          </w:p>
        </w:tc>
        <w:tc>
          <w:tcPr>
            <w:tcW w:w="726" w:type="dxa"/>
            <w:tcBorders>
              <w:top w:val="single" w:color="auto" w:sz="4" w:space="0"/>
              <w:left w:val="single" w:color="auto" w:sz="4" w:space="0"/>
              <w:bottom w:val="single" w:color="auto" w:sz="4" w:space="0"/>
              <w:right w:val="single" w:color="auto" w:sz="12"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杜</w:t>
            </w:r>
          </w:p>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rPr>
              <w:t>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98" w:type="dxa"/>
            <w:tcBorders>
              <w:top w:val="single" w:color="auto" w:sz="4" w:space="0"/>
              <w:left w:val="single" w:color="auto" w:sz="12"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拟建</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b/>
                <w:bCs/>
                <w:color w:val="auto"/>
                <w:sz w:val="24"/>
                <w:szCs w:val="24"/>
                <w:highlight w:val="none"/>
              </w:rPr>
            </w:pPr>
            <w:r>
              <w:rPr>
                <w:rFonts w:hint="default" w:ascii="Times New Roman" w:hAnsi="Times New Roman" w:cs="Times New Roman"/>
                <w:color w:val="auto"/>
                <w:kern w:val="21"/>
                <w:sz w:val="24"/>
                <w:szCs w:val="24"/>
                <w:highlight w:val="none"/>
                <w:lang w:val="en-US" w:eastAsia="zh-CN"/>
              </w:rPr>
              <w:t>马投涧</w:t>
            </w:r>
            <w:r>
              <w:rPr>
                <w:rFonts w:hint="default" w:ascii="Times New Roman" w:hAnsi="Times New Roman" w:cs="Times New Roman"/>
                <w:color w:val="auto"/>
                <w:kern w:val="21"/>
                <w:sz w:val="24"/>
                <w:szCs w:val="24"/>
                <w:highlight w:val="none"/>
              </w:rPr>
              <w:t>变</w:t>
            </w:r>
          </w:p>
        </w:tc>
        <w:tc>
          <w:tcPr>
            <w:tcW w:w="74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98" w:type="dxa"/>
            <w:tcBorders>
              <w:top w:val="single" w:color="auto" w:sz="4" w:space="0"/>
              <w:left w:val="single" w:color="auto" w:sz="12"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本期</w:t>
            </w:r>
            <w:r>
              <w:rPr>
                <w:rFonts w:hint="default" w:ascii="Times New Roman" w:hAnsi="Times New Roman" w:cs="Times New Roman"/>
                <w:color w:val="auto"/>
                <w:sz w:val="24"/>
                <w:szCs w:val="24"/>
                <w:highlight w:val="none"/>
                <w:lang w:val="en-US" w:eastAsia="zh-CN"/>
              </w:rPr>
              <w:t>（校核）</w:t>
            </w:r>
          </w:p>
        </w:tc>
        <w:tc>
          <w:tcPr>
            <w:tcW w:w="748"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杜青</w:t>
            </w:r>
          </w:p>
        </w:tc>
        <w:tc>
          <w:tcPr>
            <w:tcW w:w="743"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p>
        </w:tc>
        <w:tc>
          <w:tcPr>
            <w:tcW w:w="748"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5"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4"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4"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5"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7"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44"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p>
        </w:tc>
        <w:tc>
          <w:tcPr>
            <w:tcW w:w="745"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38"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default" w:ascii="Times New Roman" w:hAnsi="Times New Roman" w:cs="Times New Roman"/>
                <w:color w:val="auto"/>
                <w:sz w:val="24"/>
                <w:szCs w:val="24"/>
                <w:highlight w:val="none"/>
              </w:rPr>
            </w:pPr>
          </w:p>
        </w:tc>
        <w:tc>
          <w:tcPr>
            <w:tcW w:w="726" w:type="dxa"/>
            <w:tcBorders>
              <w:top w:val="single" w:color="auto" w:sz="4" w:space="0"/>
              <w:left w:val="single" w:color="auto" w:sz="4" w:space="0"/>
              <w:bottom w:val="single" w:color="auto" w:sz="12" w:space="0"/>
              <w:right w:val="single" w:color="auto" w:sz="12" w:space="0"/>
            </w:tcBorders>
            <w:noWrap w:val="0"/>
            <w:vAlign w:val="center"/>
          </w:tcPr>
          <w:p>
            <w:pPr>
              <w:widowControl/>
              <w:tabs>
                <w:tab w:val="left" w:pos="680"/>
              </w:tabs>
              <w:jc w:val="center"/>
              <w:rPr>
                <w:rFonts w:hint="default" w:ascii="Times New Roman" w:hAnsi="Times New Roman" w:cs="Times New Roman"/>
                <w:b/>
                <w:color w:val="auto"/>
                <w:sz w:val="24"/>
                <w:szCs w:val="24"/>
                <w:highlight w:val="none"/>
              </w:rPr>
            </w:pPr>
          </w:p>
        </w:tc>
      </w:tr>
      <w:bookmarkEnd w:id="304"/>
      <w:bookmarkEnd w:id="305"/>
      <w:bookmarkEnd w:id="306"/>
    </w:tbl>
    <w:p>
      <w:pPr>
        <w:keepNext w:val="0"/>
        <w:keepLines w:val="0"/>
        <w:pageBreakBefore w:val="0"/>
        <w:widowControl w:val="0"/>
        <w:kinsoku/>
        <w:wordWrap/>
        <w:overflowPunct/>
        <w:topLinePunct w:val="0"/>
        <w:autoSpaceDE/>
        <w:autoSpaceDN/>
        <w:bidi w:val="0"/>
        <w:adjustRightInd/>
        <w:snapToGrid/>
        <w:spacing w:line="460" w:lineRule="exact"/>
        <w:ind w:firstLine="584"/>
        <w:textAlignment w:val="auto"/>
        <w:rPr>
          <w:rFonts w:hint="default" w:ascii="Times New Roman" w:hAnsi="Times New Roman" w:cs="Times New Roman"/>
          <w:color w:val="auto"/>
          <w:w w:val="100"/>
          <w:sz w:val="24"/>
          <w:szCs w:val="24"/>
          <w:highlight w:val="none"/>
          <w:lang w:val="en-US" w:eastAsia="zh-CN"/>
        </w:rPr>
      </w:pPr>
      <w:r>
        <w:rPr>
          <w:rFonts w:hint="default" w:ascii="Times New Roman" w:hAnsi="Times New Roman" w:cs="Times New Roman"/>
          <w:color w:val="auto"/>
          <w:w w:val="100"/>
          <w:sz w:val="24"/>
          <w:szCs w:val="24"/>
          <w:highlight w:val="none"/>
          <w:lang w:val="zh-CN" w:eastAsia="zh-CN"/>
        </w:rPr>
        <w:t>详见：B21QSC-D0101-10 杜家庵变110kV电气主接线</w:t>
      </w:r>
      <w:r>
        <w:rPr>
          <w:rFonts w:hint="default" w:ascii="Times New Roman" w:hAnsi="Times New Roman" w:cs="Times New Roman"/>
          <w:color w:val="auto"/>
          <w:w w:val="100"/>
          <w:sz w:val="24"/>
          <w:szCs w:val="24"/>
          <w:highlight w:val="none"/>
          <w:lang w:val="en-US" w:eastAsia="zh-CN"/>
        </w:rPr>
        <w:t>图</w:t>
      </w:r>
    </w:p>
    <w:p>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9.1.1.3</w:t>
      </w:r>
      <w:r>
        <w:rPr>
          <w:rFonts w:hint="default" w:ascii="Times New Roman" w:hAnsi="Times New Roman" w:eastAsia="宋体" w:cs="Times New Roman"/>
          <w:color w:val="auto"/>
          <w:sz w:val="24"/>
          <w:szCs w:val="24"/>
          <w:highlight w:val="none"/>
          <w:lang w:val="zh-CN"/>
        </w:rPr>
        <w:t xml:space="preserve">  短路电流计算及主要设备选型校验</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（1）电气设备校验条件</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根据系统计算，安阳220kV</w:t>
      </w:r>
      <w:r>
        <w:rPr>
          <w:rFonts w:hint="default" w:ascii="Times New Roman" w:hAnsi="Times New Roman" w:eastAsia="宋体" w:cs="Times New Roman"/>
          <w:color w:val="auto"/>
          <w:sz w:val="24"/>
          <w:szCs w:val="24"/>
          <w:highlight w:val="none"/>
          <w:lang w:val="en-US" w:eastAsia="zh-CN"/>
        </w:rPr>
        <w:t>杜家庵</w:t>
      </w:r>
      <w:r>
        <w:rPr>
          <w:rFonts w:hint="default" w:ascii="Times New Roman" w:hAnsi="Times New Roman" w:eastAsia="宋体" w:cs="Times New Roman"/>
          <w:color w:val="auto"/>
          <w:sz w:val="24"/>
          <w:szCs w:val="24"/>
          <w:highlight w:val="none"/>
          <w:lang w:val="zh-CN"/>
        </w:rPr>
        <w:t>变电站110kV母线</w:t>
      </w:r>
      <w:r>
        <w:rPr>
          <w:rFonts w:hint="default" w:ascii="Times New Roman" w:hAnsi="Times New Roman" w:eastAsia="宋体" w:cs="Times New Roman"/>
          <w:color w:val="auto"/>
          <w:sz w:val="24"/>
          <w:szCs w:val="24"/>
          <w:highlight w:val="none"/>
          <w:lang w:val="en-US" w:eastAsia="zh-CN"/>
        </w:rPr>
        <w:t>2021年及</w:t>
      </w:r>
      <w:r>
        <w:rPr>
          <w:rFonts w:hint="default" w:ascii="Times New Roman" w:hAnsi="Times New Roman" w:eastAsia="宋体" w:cs="Times New Roman"/>
          <w:color w:val="auto"/>
          <w:sz w:val="24"/>
          <w:szCs w:val="24"/>
          <w:highlight w:val="none"/>
          <w:lang w:val="zh-CN"/>
        </w:rPr>
        <w:t>远期系统三相短路电流</w:t>
      </w:r>
      <w:r>
        <w:rPr>
          <w:rFonts w:hint="default" w:ascii="Times New Roman" w:hAnsi="Times New Roman" w:eastAsia="宋体" w:cs="Times New Roman"/>
          <w:color w:val="auto"/>
          <w:sz w:val="24"/>
          <w:szCs w:val="24"/>
          <w:highlight w:val="none"/>
          <w:lang w:val="en-US" w:eastAsia="zh-CN"/>
        </w:rPr>
        <w:t>分别为16.62</w:t>
      </w:r>
      <w:r>
        <w:rPr>
          <w:rFonts w:hint="default" w:ascii="Times New Roman" w:hAnsi="Times New Roman" w:eastAsia="宋体" w:cs="Times New Roman"/>
          <w:color w:val="auto"/>
          <w:sz w:val="24"/>
          <w:szCs w:val="24"/>
          <w:highlight w:val="none"/>
          <w:lang w:val="zh-CN"/>
        </w:rPr>
        <w:t>kA、</w:t>
      </w:r>
      <w:r>
        <w:rPr>
          <w:rFonts w:hint="default" w:ascii="Times New Roman" w:hAnsi="Times New Roman" w:eastAsia="宋体" w:cs="Times New Roman"/>
          <w:color w:val="auto"/>
          <w:sz w:val="24"/>
          <w:szCs w:val="24"/>
          <w:highlight w:val="none"/>
          <w:lang w:val="en-US" w:eastAsia="zh-CN"/>
        </w:rPr>
        <w:t>24.98</w:t>
      </w:r>
      <w:r>
        <w:rPr>
          <w:rFonts w:hint="default" w:ascii="Times New Roman" w:hAnsi="Times New Roman" w:eastAsia="宋体" w:cs="Times New Roman"/>
          <w:color w:val="auto"/>
          <w:sz w:val="24"/>
          <w:szCs w:val="24"/>
          <w:highlight w:val="none"/>
          <w:lang w:val="zh-CN"/>
        </w:rPr>
        <w:t>kA</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rPr>
        <w:t>110kV母线</w:t>
      </w:r>
      <w:r>
        <w:rPr>
          <w:rFonts w:hint="default" w:ascii="Times New Roman" w:hAnsi="Times New Roman" w:eastAsia="宋体" w:cs="Times New Roman"/>
          <w:color w:val="auto"/>
          <w:sz w:val="24"/>
          <w:szCs w:val="24"/>
          <w:highlight w:val="none"/>
          <w:lang w:val="en-US" w:eastAsia="zh-CN"/>
        </w:rPr>
        <w:t>通流容量432MV</w:t>
      </w:r>
      <w:r>
        <w:rPr>
          <w:rFonts w:hint="default" w:ascii="Times New Roman" w:hAnsi="Times New Roman" w:eastAsia="宋体" w:cs="Times New Roman"/>
          <w:color w:val="auto"/>
          <w:sz w:val="24"/>
          <w:szCs w:val="24"/>
          <w:highlight w:val="none"/>
          <w:lang w:val="zh-CN"/>
        </w:rPr>
        <w:t>A。</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220kV</w:t>
      </w:r>
      <w:r>
        <w:rPr>
          <w:rFonts w:hint="default" w:ascii="Times New Roman" w:hAnsi="Times New Roman" w:eastAsia="宋体" w:cs="Times New Roman"/>
          <w:color w:val="auto"/>
          <w:sz w:val="24"/>
          <w:szCs w:val="24"/>
          <w:highlight w:val="none"/>
          <w:lang w:val="en-US" w:eastAsia="zh-CN"/>
        </w:rPr>
        <w:t>杜家庵</w:t>
      </w:r>
      <w:r>
        <w:rPr>
          <w:rFonts w:hint="default" w:ascii="Times New Roman" w:hAnsi="Times New Roman" w:eastAsia="宋体" w:cs="Times New Roman"/>
          <w:color w:val="auto"/>
          <w:sz w:val="24"/>
          <w:szCs w:val="24"/>
          <w:highlight w:val="none"/>
          <w:lang w:val="zh-CN"/>
        </w:rPr>
        <w:t>变—</w:t>
      </w:r>
      <w:r>
        <w:rPr>
          <w:rFonts w:hint="default" w:ascii="Times New Roman" w:hAnsi="Times New Roman" w:eastAsia="宋体" w:cs="Times New Roman"/>
          <w:color w:val="auto"/>
          <w:sz w:val="24"/>
          <w:szCs w:val="24"/>
          <w:highlight w:val="none"/>
          <w:lang w:val="en-US" w:eastAsia="zh-CN"/>
        </w:rPr>
        <w:t>青山</w:t>
      </w:r>
      <w:r>
        <w:rPr>
          <w:rFonts w:hint="default" w:ascii="Times New Roman" w:hAnsi="Times New Roman" w:eastAsia="宋体" w:cs="Times New Roman"/>
          <w:color w:val="auto"/>
          <w:sz w:val="24"/>
          <w:szCs w:val="24"/>
          <w:highlight w:val="none"/>
          <w:lang w:val="zh-CN"/>
        </w:rPr>
        <w:t>变110kV线路最大工作电流</w:t>
      </w:r>
      <w:r>
        <w:rPr>
          <w:rFonts w:hint="default" w:ascii="Times New Roman" w:hAnsi="Times New Roman" w:eastAsia="宋体" w:cs="Times New Roman"/>
          <w:color w:val="auto"/>
          <w:sz w:val="24"/>
          <w:szCs w:val="24"/>
          <w:highlight w:val="none"/>
          <w:lang w:val="en-US" w:eastAsia="zh-CN"/>
        </w:rPr>
        <w:t>690</w:t>
      </w:r>
      <w:r>
        <w:rPr>
          <w:rFonts w:hint="default" w:ascii="Times New Roman" w:hAnsi="Times New Roman" w:eastAsia="宋体" w:cs="Times New Roman"/>
          <w:color w:val="auto"/>
          <w:sz w:val="24"/>
          <w:szCs w:val="24"/>
          <w:highlight w:val="none"/>
          <w:lang w:val="zh-CN"/>
        </w:rPr>
        <w:t xml:space="preserve">A。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eastAsia="宋体" w:cs="Times New Roman"/>
          <w:color w:val="auto"/>
          <w:w w:val="100"/>
          <w:sz w:val="24"/>
          <w:szCs w:val="24"/>
          <w:highlight w:val="none"/>
          <w:lang w:val="zh-CN" w:eastAsia="zh-CN"/>
        </w:rPr>
      </w:pPr>
      <w:r>
        <w:rPr>
          <w:rFonts w:hint="default" w:ascii="Times New Roman" w:hAnsi="Times New Roman" w:eastAsia="宋体" w:cs="Times New Roman"/>
          <w:color w:val="auto"/>
          <w:w w:val="100"/>
          <w:sz w:val="24"/>
          <w:szCs w:val="24"/>
          <w:highlight w:val="none"/>
          <w:lang w:val="zh-CN" w:eastAsia="zh-CN"/>
        </w:rPr>
        <w:t>（2）接入间隔电气设备校验</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220kV</w:t>
      </w:r>
      <w:r>
        <w:rPr>
          <w:rFonts w:hint="default" w:ascii="Times New Roman" w:hAnsi="Times New Roman" w:eastAsia="宋体" w:cs="Times New Roman"/>
          <w:color w:val="auto"/>
          <w:sz w:val="24"/>
          <w:szCs w:val="24"/>
          <w:highlight w:val="none"/>
          <w:lang w:val="en-US" w:eastAsia="zh-CN"/>
        </w:rPr>
        <w:t>杜家庵</w:t>
      </w:r>
      <w:r>
        <w:rPr>
          <w:rFonts w:hint="default" w:ascii="Times New Roman" w:hAnsi="Times New Roman" w:eastAsia="宋体" w:cs="Times New Roman"/>
          <w:color w:val="auto"/>
          <w:sz w:val="24"/>
          <w:szCs w:val="24"/>
          <w:highlight w:val="none"/>
          <w:lang w:val="zh-CN"/>
        </w:rPr>
        <w:t>变110kV配电装置</w:t>
      </w:r>
      <w:r>
        <w:rPr>
          <w:rFonts w:hint="default" w:ascii="Times New Roman" w:hAnsi="Times New Roman" w:eastAsia="宋体" w:cs="Times New Roman"/>
          <w:color w:val="auto"/>
          <w:sz w:val="24"/>
          <w:szCs w:val="24"/>
          <w:highlight w:val="none"/>
          <w:lang w:val="en-US" w:eastAsia="zh-CN"/>
        </w:rPr>
        <w:t>采</w:t>
      </w:r>
      <w:r>
        <w:rPr>
          <w:rFonts w:hint="default" w:ascii="Times New Roman" w:hAnsi="Times New Roman" w:eastAsia="宋体" w:cs="Times New Roman"/>
          <w:color w:val="auto"/>
          <w:sz w:val="24"/>
          <w:szCs w:val="24"/>
          <w:highlight w:val="none"/>
          <w:lang w:val="zh-CN"/>
        </w:rPr>
        <w:t>用户外</w:t>
      </w:r>
      <w:r>
        <w:rPr>
          <w:rFonts w:hint="default" w:ascii="Times New Roman" w:hAnsi="Times New Roman" w:eastAsia="宋体" w:cs="Times New Roman"/>
          <w:color w:val="auto"/>
          <w:sz w:val="24"/>
          <w:szCs w:val="24"/>
          <w:highlight w:val="none"/>
          <w:lang w:val="en-US" w:eastAsia="zh-CN"/>
        </w:rPr>
        <w:t>GIS</w:t>
      </w:r>
      <w:r>
        <w:rPr>
          <w:rFonts w:hint="default" w:ascii="Times New Roman" w:hAnsi="Times New Roman" w:eastAsia="宋体" w:cs="Times New Roman"/>
          <w:color w:val="auto"/>
          <w:sz w:val="24"/>
          <w:szCs w:val="24"/>
          <w:highlight w:val="none"/>
          <w:lang w:val="zh-CN"/>
        </w:rPr>
        <w:t>设备，额定开断电流40kA。110kV</w:t>
      </w:r>
      <w:r>
        <w:rPr>
          <w:rFonts w:hint="default" w:ascii="Times New Roman" w:hAnsi="Times New Roman" w:eastAsia="宋体" w:cs="Times New Roman"/>
          <w:color w:val="auto"/>
          <w:sz w:val="24"/>
          <w:szCs w:val="24"/>
          <w:highlight w:val="none"/>
          <w:lang w:val="en-US" w:eastAsia="zh-CN"/>
        </w:rPr>
        <w:t>配电装置相关</w:t>
      </w:r>
      <w:r>
        <w:rPr>
          <w:rFonts w:hint="default" w:ascii="Times New Roman" w:hAnsi="Times New Roman" w:eastAsia="宋体" w:cs="Times New Roman"/>
          <w:color w:val="auto"/>
          <w:sz w:val="24"/>
          <w:szCs w:val="24"/>
          <w:highlight w:val="none"/>
          <w:lang w:val="zh-CN"/>
        </w:rPr>
        <w:t>设备参数表</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zh-CN"/>
        </w:rPr>
        <w:t>-1：</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center"/>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 xml:space="preserve"> 表</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zh-CN"/>
        </w:rPr>
        <w:t>-1  110kV</w:t>
      </w:r>
      <w:r>
        <w:rPr>
          <w:rFonts w:hint="default" w:ascii="Times New Roman" w:hAnsi="Times New Roman" w:eastAsia="宋体" w:cs="Times New Roman"/>
          <w:color w:val="auto"/>
          <w:sz w:val="24"/>
          <w:szCs w:val="24"/>
          <w:highlight w:val="none"/>
          <w:lang w:val="en-US" w:eastAsia="zh-CN"/>
        </w:rPr>
        <w:t>配电装置相关</w:t>
      </w:r>
      <w:r>
        <w:rPr>
          <w:rFonts w:hint="default" w:ascii="Times New Roman" w:hAnsi="Times New Roman" w:eastAsia="宋体" w:cs="Times New Roman"/>
          <w:color w:val="auto"/>
          <w:sz w:val="24"/>
          <w:szCs w:val="24"/>
          <w:highlight w:val="none"/>
          <w:lang w:val="zh-CN"/>
        </w:rPr>
        <w:t>设备参数表</w:t>
      </w:r>
    </w:p>
    <w:tbl>
      <w:tblPr>
        <w:tblStyle w:val="50"/>
        <w:tblW w:w="101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60"/>
        <w:gridCol w:w="2806"/>
        <w:gridCol w:w="2818"/>
        <w:gridCol w:w="1404"/>
        <w:gridCol w:w="948"/>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gridSpan w:val="2"/>
            <w:tcBorders>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主要</w:t>
            </w:r>
          </w:p>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设备</w:t>
            </w:r>
          </w:p>
        </w:tc>
        <w:tc>
          <w:tcPr>
            <w:tcW w:w="2806" w:type="dxa"/>
            <w:tcBorders>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主要参数</w:t>
            </w:r>
          </w:p>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p>
        </w:tc>
        <w:tc>
          <w:tcPr>
            <w:tcW w:w="2818" w:type="dxa"/>
            <w:tcBorders>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最大工作电流（A）</w:t>
            </w:r>
          </w:p>
        </w:tc>
        <w:tc>
          <w:tcPr>
            <w:tcW w:w="1404" w:type="dxa"/>
            <w:tcBorders>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短路电流（kA）</w:t>
            </w:r>
          </w:p>
        </w:tc>
        <w:tc>
          <w:tcPr>
            <w:tcW w:w="948" w:type="dxa"/>
            <w:tcBorders>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eastAsia="宋体" w:cs="Times New Roman"/>
                <w:color w:val="auto"/>
                <w:sz w:val="24"/>
                <w:szCs w:val="24"/>
                <w:highlight w:val="none"/>
                <w:lang w:val="en-US" w:eastAsia="zh-CN"/>
              </w:rPr>
              <w:t>厂家</w:t>
            </w:r>
          </w:p>
        </w:tc>
        <w:tc>
          <w:tcPr>
            <w:tcW w:w="726" w:type="dxa"/>
            <w:tcBorders>
              <w:left w:val="single" w:color="auto" w:sz="4" w:space="0"/>
              <w:bottom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restart"/>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GIS</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bidi="ar-SA"/>
              </w:rPr>
              <w:t>断路器</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2500A  40kA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主进：1323A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bidi="ar-SA"/>
              </w:rPr>
              <w:t>母联</w:t>
            </w:r>
            <w:r>
              <w:rPr>
                <w:rFonts w:hint="default" w:ascii="Times New Roman" w:hAnsi="Times New Roman" w:cs="Times New Roman"/>
                <w:b w:val="0"/>
                <w:bCs w:val="0"/>
                <w:color w:val="auto"/>
                <w:spacing w:val="0"/>
                <w:w w:val="100"/>
                <w:sz w:val="24"/>
                <w:szCs w:val="24"/>
                <w:highlight w:val="none"/>
                <w:lang w:val="en-US" w:eastAsia="zh-CN" w:bidi="ar-SA"/>
              </w:rPr>
              <w:t>：2267A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杜家庵－青山：690A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snapToGrid w:val="0"/>
                <w:color w:val="auto"/>
                <w:kern w:val="28"/>
                <w:sz w:val="24"/>
                <w:szCs w:val="24"/>
                <w:highlight w:val="none"/>
                <w:lang w:val="zh-CN"/>
              </w:rPr>
              <w:t>西安西电开关电气有限公司</w:t>
            </w: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隔离开关</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2500A  40kA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主进：1323A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bidi="ar-SA"/>
              </w:rPr>
              <w:t>母联</w:t>
            </w:r>
            <w:r>
              <w:rPr>
                <w:rFonts w:hint="default" w:ascii="Times New Roman" w:hAnsi="Times New Roman" w:cs="Times New Roman"/>
                <w:b w:val="0"/>
                <w:bCs w:val="0"/>
                <w:color w:val="auto"/>
                <w:spacing w:val="0"/>
                <w:w w:val="100"/>
                <w:sz w:val="24"/>
                <w:szCs w:val="24"/>
                <w:highlight w:val="none"/>
                <w:lang w:val="en-US" w:eastAsia="zh-CN" w:bidi="ar-SA"/>
              </w:rPr>
              <w:t>：2267A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杜家庵－青山：690A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接地开关</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2500A  40kA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主进：1323A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bidi="ar-SA"/>
              </w:rPr>
              <w:t>母联</w:t>
            </w:r>
            <w:r>
              <w:rPr>
                <w:rFonts w:hint="default" w:ascii="Times New Roman" w:hAnsi="Times New Roman" w:cs="Times New Roman"/>
                <w:b w:val="0"/>
                <w:bCs w:val="0"/>
                <w:color w:val="auto"/>
                <w:spacing w:val="0"/>
                <w:w w:val="100"/>
                <w:sz w:val="24"/>
                <w:szCs w:val="24"/>
                <w:highlight w:val="none"/>
                <w:lang w:val="en-US" w:eastAsia="zh-CN" w:bidi="ar-SA"/>
              </w:rPr>
              <w:t>：2267A</w:t>
            </w:r>
          </w:p>
          <w:p>
            <w:pPr>
              <w:adjustRightInd w:val="0"/>
              <w:snapToGrid w:val="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val="0"/>
                <w:bCs w:val="0"/>
                <w:color w:val="auto"/>
                <w:spacing w:val="0"/>
                <w:w w:val="100"/>
                <w:sz w:val="24"/>
                <w:szCs w:val="24"/>
                <w:highlight w:val="none"/>
                <w:lang w:val="en-US" w:eastAsia="zh-CN" w:bidi="ar-SA"/>
              </w:rPr>
              <w:t>杜家庵－青山：690A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eastAsia="zh-CN" w:bidi="ar-SA"/>
              </w:rPr>
              <w:t>快速</w:t>
            </w:r>
            <w:r>
              <w:rPr>
                <w:rFonts w:hint="default" w:ascii="Times New Roman" w:hAnsi="Times New Roman" w:cs="Times New Roman"/>
                <w:b w:val="0"/>
                <w:bCs w:val="0"/>
                <w:color w:val="auto"/>
                <w:spacing w:val="0"/>
                <w:w w:val="100"/>
                <w:sz w:val="24"/>
                <w:szCs w:val="24"/>
                <w:highlight w:val="none"/>
                <w:lang w:bidi="ar-SA"/>
              </w:rPr>
              <w:t>接地开关</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2500A  40kA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杜家庵－青山：690A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bidi="ar-SA"/>
              </w:rPr>
              <w:t>电流互感器</w:t>
            </w:r>
            <w:r>
              <w:rPr>
                <w:rFonts w:hint="default" w:ascii="Times New Roman" w:hAnsi="Times New Roman" w:cs="Times New Roman"/>
                <w:b w:val="0"/>
                <w:bCs w:val="0"/>
                <w:color w:val="auto"/>
                <w:spacing w:val="0"/>
                <w:w w:val="100"/>
                <w:sz w:val="24"/>
                <w:szCs w:val="24"/>
                <w:highlight w:val="none"/>
                <w:lang w:eastAsia="zh-CN" w:bidi="ar-SA"/>
              </w:rPr>
              <w:t>（主进）</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1#主变进线：</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1250～2500/5A,0.2S/0.5/5P30/5P30/5P30，</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容量：40/40/40/40/40VA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2#主变进线：</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800～1600/5A,0.2S/0.5/5P30/5P30/5P30，</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容量：40/40/40/40/40VA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1#主变进线：</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 xml:space="preserve">1323A               </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#主变进线：</w:t>
            </w:r>
            <w:r>
              <w:rPr>
                <w:rFonts w:hint="default" w:ascii="Times New Roman" w:hAnsi="Times New Roman" w:cs="Times New Roman"/>
                <w:b w:val="0"/>
                <w:bCs w:val="0"/>
                <w:color w:val="auto"/>
                <w:spacing w:val="0"/>
                <w:w w:val="100"/>
                <w:sz w:val="24"/>
                <w:szCs w:val="24"/>
                <w:highlight w:val="none"/>
                <w:lang w:val="en-US" w:eastAsia="zh-CN" w:bidi="ar-SA"/>
              </w:rPr>
              <w:t>1323A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电流互感器</w:t>
            </w:r>
            <w:r>
              <w:rPr>
                <w:rFonts w:hint="default" w:ascii="Times New Roman" w:hAnsi="Times New Roman" w:cs="Times New Roman"/>
                <w:b w:val="0"/>
                <w:bCs w:val="0"/>
                <w:color w:val="auto"/>
                <w:spacing w:val="0"/>
                <w:w w:val="100"/>
                <w:sz w:val="24"/>
                <w:szCs w:val="24"/>
                <w:highlight w:val="none"/>
                <w:lang w:eastAsia="zh-CN" w:bidi="ar-SA"/>
              </w:rPr>
              <w:t>（</w:t>
            </w:r>
            <w:r>
              <w:rPr>
                <w:rFonts w:hint="default" w:ascii="Times New Roman" w:hAnsi="Times New Roman" w:cs="Times New Roman"/>
                <w:b w:val="0"/>
                <w:bCs w:val="0"/>
                <w:color w:val="auto"/>
                <w:spacing w:val="0"/>
                <w:w w:val="100"/>
                <w:sz w:val="24"/>
                <w:szCs w:val="24"/>
                <w:highlight w:val="none"/>
                <w:lang w:bidi="ar-SA"/>
              </w:rPr>
              <w:t>母联</w:t>
            </w:r>
            <w:r>
              <w:rPr>
                <w:rFonts w:hint="default" w:ascii="Times New Roman" w:hAnsi="Times New Roman" w:cs="Times New Roman"/>
                <w:b w:val="0"/>
                <w:bCs w:val="0"/>
                <w:color w:val="auto"/>
                <w:spacing w:val="0"/>
                <w:w w:val="100"/>
                <w:sz w:val="24"/>
                <w:szCs w:val="24"/>
                <w:highlight w:val="none"/>
                <w:lang w:eastAsia="zh-CN" w:bidi="ar-SA"/>
              </w:rPr>
              <w:t>）</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jc w:val="left"/>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snapToGrid w:val="0"/>
                <w:color w:val="auto"/>
                <w:kern w:val="28"/>
                <w:sz w:val="24"/>
                <w:szCs w:val="24"/>
                <w:highlight w:val="none"/>
              </w:rPr>
              <w:t>1250～2500/5A，0.2S/0.5/10P30/10P30/10P30，</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snapToGrid w:val="0"/>
                <w:color w:val="auto"/>
                <w:kern w:val="28"/>
                <w:sz w:val="24"/>
                <w:szCs w:val="24"/>
                <w:highlight w:val="none"/>
              </w:rPr>
              <w:t>容量：40/40/40/40/40VA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2267A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电流互感器</w:t>
            </w:r>
            <w:r>
              <w:rPr>
                <w:rFonts w:hint="default" w:ascii="Times New Roman" w:hAnsi="Times New Roman" w:cs="Times New Roman"/>
                <w:b w:val="0"/>
                <w:bCs w:val="0"/>
                <w:color w:val="auto"/>
                <w:spacing w:val="0"/>
                <w:w w:val="100"/>
                <w:sz w:val="24"/>
                <w:szCs w:val="24"/>
                <w:highlight w:val="none"/>
                <w:lang w:eastAsia="zh-CN" w:bidi="ar-SA"/>
              </w:rPr>
              <w:t>（出线）</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jc w:val="left"/>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杜青间隔：</w:t>
            </w:r>
            <w:r>
              <w:rPr>
                <w:rFonts w:hint="default" w:ascii="Times New Roman" w:hAnsi="Times New Roman" w:cs="Times New Roman"/>
                <w:snapToGrid w:val="0"/>
                <w:color w:val="auto"/>
                <w:kern w:val="28"/>
                <w:sz w:val="24"/>
                <w:szCs w:val="24"/>
                <w:highlight w:val="none"/>
              </w:rPr>
              <w:t>600～1200/5A,0.2S/0.5/10P30/10P30/10P30，容量：40/40/40/40/40VA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杜家庵－青山：690A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电压互感器</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snapToGrid w:val="0"/>
                <w:color w:val="auto"/>
                <w:kern w:val="28"/>
                <w:sz w:val="24"/>
                <w:szCs w:val="24"/>
                <w:highlight w:val="none"/>
              </w:rPr>
              <w:t>110kV,</w:t>
            </w:r>
            <w:r>
              <w:rPr>
                <w:rFonts w:hint="default" w:ascii="Times New Roman" w:hAnsi="Times New Roman" w:cs="Times New Roman"/>
                <w:snapToGrid w:val="0"/>
                <w:color w:val="auto"/>
                <w:kern w:val="28"/>
                <w:sz w:val="24"/>
                <w:szCs w:val="24"/>
                <w:highlight w:val="none"/>
              </w:rPr>
              <w:object>
                <v:shape id="_x0000_i1029" o:spt="75" type="#_x0000_t75" style="height:25pt;width:112.95pt;" o:ole="t" filled="f" stroked="f" coordsize="21600,21600">
                  <v:path/>
                  <v:fill on="f" focussize="0,0"/>
                  <v:stroke on="f"/>
                  <v:imagedata r:id="rId25" o:title=""/>
                  <o:lock v:ext="edit" grouping="f" rotation="f" text="f" aspectratio="t"/>
                  <w10:wrap type="none"/>
                  <w10:anchorlock/>
                </v:shape>
                <o:OLEObject Type="Embed" ProgID="Equation.KSEE3" ShapeID="_x0000_i1029" DrawAspect="Content" ObjectID="_1468075729" r:id="rId24">
                  <o:LockedField>false</o:LockedField>
                </o:OLEObject>
              </w:object>
            </w:r>
            <w:r>
              <w:rPr>
                <w:rFonts w:hint="default" w:ascii="Times New Roman" w:hAnsi="Times New Roman" w:cs="Times New Roman"/>
                <w:snapToGrid w:val="0"/>
                <w:color w:val="auto"/>
                <w:kern w:val="28"/>
                <w:sz w:val="24"/>
                <w:szCs w:val="24"/>
                <w:highlight w:val="none"/>
              </w:rPr>
              <w:t>kV，0.2/0.5/0.5/3P,0.02μF，75/100/150/300VA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dxa"/>
            <w:vMerge w:val="continue"/>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GIS母线</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3150A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2267A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6"/>
                <w:w w:val="90"/>
                <w:kern w:val="2"/>
                <w:sz w:val="24"/>
                <w:szCs w:val="24"/>
                <w:highlight w:val="none"/>
                <w:lang w:val="en-US" w:eastAsia="zh-CN"/>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gridSpan w:val="2"/>
            <w:tcBorders>
              <w:top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氧化锌避雷器</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snapToGrid w:val="0"/>
                <w:color w:val="auto"/>
                <w:kern w:val="28"/>
                <w:sz w:val="24"/>
                <w:szCs w:val="24"/>
                <w:highlight w:val="none"/>
              </w:rPr>
              <w:t>102/266kV</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726" w:type="dxa"/>
            <w:tcBorders>
              <w:top w:val="single" w:color="auto" w:sz="4" w:space="0"/>
              <w:left w:val="single" w:color="auto" w:sz="4" w:space="0"/>
              <w:bottom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gridSpan w:val="2"/>
            <w:tcBorders>
              <w:top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间隔内导线</w:t>
            </w:r>
          </w:p>
        </w:tc>
        <w:tc>
          <w:tcPr>
            <w:tcW w:w="2806"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kern w:val="2"/>
                <w:position w:val="0"/>
                <w:sz w:val="24"/>
                <w:szCs w:val="24"/>
                <w:highlight w:val="none"/>
                <w:lang w:val="en-US" w:eastAsia="zh-CN" w:bidi="ar-SA"/>
              </w:rPr>
              <w:t>出线：LGJ-630/45</w:t>
            </w:r>
          </w:p>
        </w:tc>
        <w:tc>
          <w:tcPr>
            <w:tcW w:w="2818" w:type="dxa"/>
            <w:tcBorders>
              <w:top w:val="single" w:color="auto" w:sz="4" w:space="0"/>
              <w:left w:val="single" w:color="auto" w:sz="4" w:space="0"/>
              <w:right w:val="single" w:color="auto" w:sz="4" w:space="0"/>
            </w:tcBorders>
            <w:noWrap w:val="0"/>
            <w:vAlign w:val="center"/>
          </w:tcPr>
          <w:p>
            <w:pPr>
              <w:adjustRightInd w:val="0"/>
              <w:snapToGrid w:val="0"/>
              <w:ind w:left="0" w:leftChars="0" w:firstLine="0" w:firstLineChars="0"/>
              <w:jc w:val="both"/>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杜家庵－青山：690A</w:t>
            </w:r>
          </w:p>
        </w:tc>
        <w:tc>
          <w:tcPr>
            <w:tcW w:w="1404" w:type="dxa"/>
            <w:tcBorders>
              <w:top w:val="single" w:color="auto" w:sz="4" w:space="0"/>
              <w:left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24.98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tcBorders>
              <w:top w:val="single" w:color="auto" w:sz="4" w:space="0"/>
              <w:left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bl>
    <w:p>
      <w:pPr>
        <w:keepNext w:val="0"/>
        <w:keepLines w:val="0"/>
        <w:pageBreakBefore w:val="0"/>
        <w:kinsoku/>
        <w:wordWrap/>
        <w:overflowPunct/>
        <w:topLinePunct w:val="0"/>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经校验，变电站内电气一次设备满足本期接入要求，本期不新增和更换设备。</w:t>
      </w:r>
    </w:p>
    <w:p>
      <w:pPr>
        <w:keepNext w:val="0"/>
        <w:keepLines w:val="0"/>
        <w:pageBreakBefore w:val="0"/>
        <w:kinsoku/>
        <w:wordWrap/>
        <w:overflowPunct/>
        <w:topLinePunct w:val="0"/>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9.1.1.4 </w:t>
      </w:r>
      <w:r>
        <w:rPr>
          <w:rFonts w:hint="default" w:ascii="Times New Roman" w:hAnsi="Times New Roman" w:cs="Times New Roman"/>
          <w:snapToGrid w:val="0"/>
          <w:color w:val="auto"/>
          <w:kern w:val="28"/>
          <w:sz w:val="24"/>
          <w:szCs w:val="24"/>
          <w:highlight w:val="none"/>
        </w:rPr>
        <w:t>接地</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snapToGrid w:val="0"/>
          <w:color w:val="auto"/>
          <w:kern w:val="28"/>
          <w:sz w:val="24"/>
          <w:szCs w:val="24"/>
          <w:highlight w:val="none"/>
          <w:lang w:val="zh-CN"/>
        </w:rPr>
      </w:pPr>
      <w:r>
        <w:rPr>
          <w:rFonts w:hint="default" w:ascii="Times New Roman" w:hAnsi="Times New Roman" w:cs="Times New Roman"/>
          <w:snapToGrid w:val="0"/>
          <w:color w:val="auto"/>
          <w:kern w:val="28"/>
          <w:sz w:val="24"/>
          <w:szCs w:val="24"/>
          <w:highlight w:val="none"/>
          <w:lang w:val="zh-CN"/>
        </w:rPr>
        <w:t>全站接地选用80×8扁钢作水平接地主网，以50×5的角钢作接地极，80×8扁钢作设备引下线。一期已按规划规模考虑，接地电阻、跨步电压及接触电势均满足要求。</w:t>
      </w:r>
    </w:p>
    <w:p>
      <w:pPr>
        <w:pStyle w:val="2"/>
        <w:keepNext w:val="0"/>
        <w:keepLines w:val="0"/>
        <w:pageBreakBefore w:val="0"/>
        <w:kinsoku/>
        <w:wordWrap/>
        <w:overflowPunct/>
        <w:topLinePunct w:val="0"/>
        <w:bidi w:val="0"/>
        <w:snapToGrid/>
        <w:spacing w:line="460" w:lineRule="exact"/>
        <w:ind w:left="0" w:leftChars="0" w:firstLine="0" w:firstLineChars="0"/>
        <w:textAlignment w:val="auto"/>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9.1.2 电气二次</w:t>
      </w:r>
    </w:p>
    <w:p>
      <w:pPr>
        <w:keepNext w:val="0"/>
        <w:keepLines w:val="0"/>
        <w:pageBreakBefore w:val="0"/>
        <w:kinsoku/>
        <w:wordWrap/>
        <w:overflowPunct/>
        <w:topLinePunct w:val="0"/>
        <w:bidi w:val="0"/>
        <w:adjustRightInd w:val="0"/>
        <w:snapToGrid/>
        <w:spacing w:line="460" w:lineRule="exact"/>
        <w:jc w:val="left"/>
        <w:textAlignment w:val="auto"/>
        <w:rPr>
          <w:rFonts w:hint="default" w:ascii="Times New Roman" w:hAnsi="Times New Roman" w:cs="Times New Roman"/>
          <w:snapToGrid w:val="0"/>
          <w:color w:val="auto"/>
          <w:kern w:val="18"/>
          <w:sz w:val="24"/>
          <w:szCs w:val="24"/>
          <w:highlight w:val="none"/>
        </w:rPr>
      </w:pPr>
      <w:r>
        <w:rPr>
          <w:rFonts w:hint="default" w:ascii="Times New Roman" w:hAnsi="Times New Roman" w:eastAsia="宋体" w:cs="Times New Roman"/>
          <w:snapToGrid w:val="0"/>
          <w:color w:val="auto"/>
          <w:kern w:val="18"/>
          <w:sz w:val="24"/>
          <w:szCs w:val="24"/>
          <w:highlight w:val="none"/>
          <w:lang w:val="en-US" w:eastAsia="zh-CN"/>
        </w:rPr>
        <w:t xml:space="preserve">9.1.2.1 </w:t>
      </w:r>
      <w:r>
        <w:rPr>
          <w:rFonts w:hint="default" w:ascii="Times New Roman" w:hAnsi="Times New Roman" w:eastAsia="宋体" w:cs="Times New Roman"/>
          <w:color w:val="auto"/>
          <w:sz w:val="24"/>
          <w:szCs w:val="24"/>
          <w:highlight w:val="none"/>
          <w:lang w:val="zh-CN"/>
        </w:rPr>
        <w:t xml:space="preserve"> </w:t>
      </w:r>
      <w:r>
        <w:rPr>
          <w:rFonts w:hint="default" w:ascii="Times New Roman" w:hAnsi="Times New Roman" w:eastAsia="宋体" w:cs="Times New Roman"/>
          <w:snapToGrid w:val="0"/>
          <w:color w:val="auto"/>
          <w:kern w:val="18"/>
          <w:sz w:val="24"/>
          <w:szCs w:val="24"/>
          <w:highlight w:val="none"/>
          <w:lang w:val="en-US" w:eastAsia="zh-CN"/>
        </w:rPr>
        <w:t>现状</w:t>
      </w:r>
    </w:p>
    <w:p>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cs="Times New Roman"/>
          <w:snapToGrid w:val="0"/>
          <w:color w:val="auto"/>
          <w:kern w:val="28"/>
          <w:sz w:val="24"/>
          <w:szCs w:val="24"/>
          <w:highlight w:val="none"/>
          <w:lang w:val="zh-CN"/>
        </w:rPr>
      </w:pPr>
      <w:r>
        <w:rPr>
          <w:rFonts w:hint="default" w:ascii="Times New Roman" w:hAnsi="Times New Roman" w:cs="Times New Roman"/>
          <w:snapToGrid w:val="0"/>
          <w:color w:val="auto"/>
          <w:kern w:val="28"/>
          <w:sz w:val="24"/>
          <w:szCs w:val="24"/>
          <w:highlight w:val="none"/>
          <w:lang w:val="zh-CN"/>
        </w:rPr>
        <w:t>220kV杜家庵变为常规变电站，一期工程于1991 年11 月底投运，二期工程于1995年7月底投运。2008年110kV 配电装置改造为屋外GIS 布置，同时进行全站计算机监控综自系统改造。2015年10月220kV杜家庵变电站增容改造完成。本站采用许继电气的计算机监控系统，监控、保护、远动和通信等二次设备集中布置在继电器室内。</w:t>
      </w:r>
    </w:p>
    <w:p>
      <w:pPr>
        <w:keepNext w:val="0"/>
        <w:keepLines w:val="0"/>
        <w:pageBreakBefore w:val="0"/>
        <w:widowControl/>
        <w:tabs>
          <w:tab w:val="left" w:pos="680"/>
        </w:tabs>
        <w:kinsoku/>
        <w:wordWrap/>
        <w:overflowPunct/>
        <w:topLinePunct w:val="0"/>
        <w:autoSpaceDE/>
        <w:autoSpaceDN/>
        <w:bidi w:val="0"/>
        <w:snapToGrid/>
        <w:spacing w:line="560" w:lineRule="exact"/>
        <w:ind w:firstLine="480" w:firstLineChars="200"/>
        <w:jc w:val="both"/>
        <w:textAlignment w:val="auto"/>
        <w:rPr>
          <w:rFonts w:hint="default" w:ascii="Times New Roman" w:hAnsi="Times New Roman" w:cs="Times New Roman"/>
          <w:snapToGrid w:val="0"/>
          <w:color w:val="auto"/>
          <w:kern w:val="28"/>
          <w:sz w:val="24"/>
          <w:szCs w:val="24"/>
          <w:highlight w:val="none"/>
          <w:lang w:val="zh-CN"/>
        </w:rPr>
      </w:pPr>
      <w:r>
        <w:rPr>
          <w:rFonts w:hint="default" w:ascii="Times New Roman" w:hAnsi="Times New Roman" w:cs="Times New Roman"/>
          <w:snapToGrid w:val="0"/>
          <w:color w:val="auto"/>
          <w:kern w:val="28"/>
          <w:sz w:val="24"/>
          <w:szCs w:val="24"/>
          <w:highlight w:val="none"/>
          <w:lang w:val="zh-CN"/>
        </w:rPr>
        <w:t>110kV</w:t>
      </w:r>
      <w:r>
        <w:rPr>
          <w:rFonts w:hint="default" w:ascii="Times New Roman" w:hAnsi="Times New Roman" w:cs="Times New Roman"/>
          <w:snapToGrid w:val="0"/>
          <w:color w:val="auto"/>
          <w:kern w:val="28"/>
          <w:sz w:val="24"/>
          <w:szCs w:val="24"/>
          <w:highlight w:val="none"/>
        </w:rPr>
        <w:t>线路均</w:t>
      </w:r>
      <w:r>
        <w:rPr>
          <w:rFonts w:hint="default" w:ascii="Times New Roman" w:hAnsi="Times New Roman" w:cs="Times New Roman"/>
          <w:snapToGrid w:val="0"/>
          <w:color w:val="auto"/>
          <w:kern w:val="28"/>
          <w:sz w:val="24"/>
          <w:szCs w:val="24"/>
          <w:highlight w:val="none"/>
          <w:lang w:val="zh-CN"/>
        </w:rPr>
        <w:t>采用2008 年许继</w:t>
      </w:r>
      <w:r>
        <w:rPr>
          <w:rFonts w:hint="default" w:ascii="Times New Roman" w:hAnsi="Times New Roman" w:cs="Times New Roman"/>
          <w:snapToGrid w:val="0"/>
          <w:color w:val="auto"/>
          <w:kern w:val="28"/>
          <w:sz w:val="24"/>
          <w:szCs w:val="24"/>
          <w:highlight w:val="none"/>
        </w:rPr>
        <w:t>的</w:t>
      </w:r>
      <w:r>
        <w:rPr>
          <w:rFonts w:hint="default" w:ascii="Times New Roman" w:hAnsi="Times New Roman" w:cs="Times New Roman"/>
          <w:snapToGrid w:val="0"/>
          <w:color w:val="auto"/>
          <w:kern w:val="28"/>
          <w:sz w:val="24"/>
          <w:szCs w:val="24"/>
          <w:highlight w:val="none"/>
          <w:lang w:val="zh-CN"/>
        </w:rPr>
        <w:t>FCK-801型测控；</w:t>
      </w:r>
      <w:r>
        <w:rPr>
          <w:rFonts w:hint="default" w:ascii="Times New Roman" w:hAnsi="Times New Roman" w:cs="Times New Roman"/>
          <w:snapToGrid w:val="0"/>
          <w:color w:val="auto"/>
          <w:kern w:val="28"/>
          <w:sz w:val="24"/>
          <w:szCs w:val="24"/>
          <w:highlight w:val="none"/>
        </w:rPr>
        <w:t>Ⅱ杜峨</w:t>
      </w:r>
      <w:r>
        <w:rPr>
          <w:rFonts w:hint="default" w:ascii="Times New Roman" w:hAnsi="Times New Roman" w:cs="Times New Roman"/>
          <w:snapToGrid w:val="0"/>
          <w:color w:val="auto"/>
          <w:kern w:val="28"/>
          <w:sz w:val="24"/>
          <w:szCs w:val="24"/>
          <w:highlight w:val="none"/>
          <w:lang w:eastAsia="zh-CN"/>
        </w:rPr>
        <w:t>、</w:t>
      </w:r>
      <w:r>
        <w:rPr>
          <w:rFonts w:hint="default" w:ascii="Times New Roman" w:hAnsi="Times New Roman" w:cs="Times New Roman"/>
          <w:snapToGrid w:val="0"/>
          <w:color w:val="auto"/>
          <w:kern w:val="28"/>
          <w:sz w:val="24"/>
          <w:szCs w:val="24"/>
          <w:highlight w:val="none"/>
        </w:rPr>
        <w:t>杜</w:t>
      </w:r>
      <w:r>
        <w:rPr>
          <w:rFonts w:hint="default" w:ascii="Times New Roman" w:hAnsi="Times New Roman" w:cs="Times New Roman"/>
          <w:snapToGrid w:val="0"/>
          <w:color w:val="auto"/>
          <w:kern w:val="28"/>
          <w:sz w:val="24"/>
          <w:szCs w:val="24"/>
          <w:highlight w:val="none"/>
          <w:lang w:val="en-US" w:eastAsia="zh-CN"/>
        </w:rPr>
        <w:t>香</w:t>
      </w:r>
      <w:r>
        <w:rPr>
          <w:rFonts w:hint="default" w:ascii="Times New Roman" w:hAnsi="Times New Roman" w:cs="Times New Roman"/>
          <w:snapToGrid w:val="0"/>
          <w:color w:val="auto"/>
          <w:kern w:val="28"/>
          <w:sz w:val="24"/>
          <w:szCs w:val="24"/>
          <w:highlight w:val="none"/>
          <w:lang w:val="zh-CN"/>
        </w:rPr>
        <w:t>线</w:t>
      </w:r>
      <w:r>
        <w:rPr>
          <w:rFonts w:hint="default" w:ascii="Times New Roman" w:hAnsi="Times New Roman" w:cs="Times New Roman"/>
          <w:snapToGrid w:val="0"/>
          <w:color w:val="auto"/>
          <w:kern w:val="28"/>
          <w:sz w:val="24"/>
          <w:szCs w:val="24"/>
          <w:highlight w:val="none"/>
          <w:lang w:val="en-US" w:eastAsia="zh-CN"/>
        </w:rPr>
        <w:t>采用</w:t>
      </w:r>
      <w:r>
        <w:rPr>
          <w:rFonts w:hint="default" w:ascii="Times New Roman" w:hAnsi="Times New Roman" w:cs="Times New Roman"/>
          <w:snapToGrid w:val="0"/>
          <w:color w:val="auto"/>
          <w:kern w:val="28"/>
          <w:sz w:val="24"/>
          <w:szCs w:val="24"/>
          <w:highlight w:val="none"/>
          <w:lang w:val="zh-CN"/>
        </w:rPr>
        <w:t>20</w:t>
      </w:r>
      <w:r>
        <w:rPr>
          <w:rFonts w:hint="default" w:ascii="Times New Roman" w:hAnsi="Times New Roman" w:cs="Times New Roman"/>
          <w:snapToGrid w:val="0"/>
          <w:color w:val="auto"/>
          <w:kern w:val="28"/>
          <w:sz w:val="24"/>
          <w:szCs w:val="24"/>
          <w:highlight w:val="none"/>
        </w:rPr>
        <w:t>17</w:t>
      </w:r>
      <w:r>
        <w:rPr>
          <w:rFonts w:hint="default" w:ascii="Times New Roman" w:hAnsi="Times New Roman" w:cs="Times New Roman"/>
          <w:snapToGrid w:val="0"/>
          <w:color w:val="auto"/>
          <w:kern w:val="28"/>
          <w:sz w:val="24"/>
          <w:szCs w:val="24"/>
          <w:highlight w:val="none"/>
          <w:lang w:val="zh-CN"/>
        </w:rPr>
        <w:t xml:space="preserve"> 年国电</w:t>
      </w:r>
      <w:r>
        <w:rPr>
          <w:rFonts w:hint="default" w:ascii="Times New Roman" w:hAnsi="Times New Roman" w:cs="Times New Roman"/>
          <w:snapToGrid w:val="0"/>
          <w:color w:val="auto"/>
          <w:kern w:val="28"/>
          <w:sz w:val="24"/>
          <w:szCs w:val="24"/>
          <w:highlight w:val="none"/>
        </w:rPr>
        <w:t>南瑞 NSR-304型</w:t>
      </w:r>
      <w:r>
        <w:rPr>
          <w:rFonts w:hint="default" w:ascii="Times New Roman" w:hAnsi="Times New Roman" w:cs="Times New Roman"/>
          <w:snapToGrid w:val="0"/>
          <w:color w:val="auto"/>
          <w:kern w:val="28"/>
          <w:sz w:val="24"/>
          <w:szCs w:val="24"/>
          <w:highlight w:val="none"/>
          <w:lang w:val="zh-CN"/>
        </w:rPr>
        <w:t>距离保护，</w:t>
      </w:r>
      <w:r>
        <w:rPr>
          <w:rFonts w:hint="default" w:ascii="Times New Roman" w:hAnsi="Times New Roman" w:cs="Times New Roman"/>
          <w:snapToGrid w:val="0"/>
          <w:color w:val="auto"/>
          <w:kern w:val="28"/>
          <w:sz w:val="24"/>
          <w:szCs w:val="24"/>
          <w:highlight w:val="none"/>
        </w:rPr>
        <w:t>杜</w:t>
      </w:r>
      <w:r>
        <w:rPr>
          <w:rFonts w:hint="default" w:ascii="Times New Roman" w:hAnsi="Times New Roman" w:cs="Times New Roman"/>
          <w:snapToGrid w:val="0"/>
          <w:color w:val="auto"/>
          <w:kern w:val="28"/>
          <w:sz w:val="24"/>
          <w:szCs w:val="24"/>
          <w:highlight w:val="none"/>
          <w:lang w:val="en-US" w:eastAsia="zh-CN"/>
        </w:rPr>
        <w:t>东</w:t>
      </w:r>
      <w:r>
        <w:rPr>
          <w:rFonts w:hint="default" w:ascii="Times New Roman" w:hAnsi="Times New Roman" w:cs="Times New Roman"/>
          <w:snapToGrid w:val="0"/>
          <w:color w:val="auto"/>
          <w:kern w:val="28"/>
          <w:sz w:val="24"/>
          <w:szCs w:val="24"/>
          <w:highlight w:val="none"/>
          <w:lang w:eastAsia="zh-CN"/>
        </w:rPr>
        <w:t>、</w:t>
      </w:r>
      <w:r>
        <w:rPr>
          <w:rFonts w:hint="default" w:ascii="Times New Roman" w:hAnsi="Times New Roman" w:cs="Times New Roman"/>
          <w:snapToGrid w:val="0"/>
          <w:color w:val="auto"/>
          <w:kern w:val="28"/>
          <w:sz w:val="24"/>
          <w:szCs w:val="24"/>
          <w:highlight w:val="none"/>
        </w:rPr>
        <w:t>杜</w:t>
      </w:r>
      <w:r>
        <w:rPr>
          <w:rFonts w:hint="default" w:ascii="Times New Roman" w:hAnsi="Times New Roman" w:cs="Times New Roman"/>
          <w:snapToGrid w:val="0"/>
          <w:color w:val="auto"/>
          <w:kern w:val="28"/>
          <w:sz w:val="24"/>
          <w:szCs w:val="24"/>
          <w:highlight w:val="none"/>
          <w:lang w:val="en-US" w:eastAsia="zh-CN"/>
        </w:rPr>
        <w:t>庄</w:t>
      </w:r>
      <w:r>
        <w:rPr>
          <w:rFonts w:hint="default" w:ascii="Times New Roman" w:hAnsi="Times New Roman" w:cs="Times New Roman"/>
          <w:snapToGrid w:val="0"/>
          <w:color w:val="auto"/>
          <w:kern w:val="28"/>
          <w:sz w:val="24"/>
          <w:szCs w:val="24"/>
          <w:highlight w:val="none"/>
          <w:lang w:eastAsia="zh-CN"/>
        </w:rPr>
        <w:t>、</w:t>
      </w:r>
      <w:r>
        <w:rPr>
          <w:rFonts w:hint="default" w:ascii="Times New Roman" w:hAnsi="Times New Roman" w:cs="Times New Roman"/>
          <w:snapToGrid w:val="0"/>
          <w:color w:val="auto"/>
          <w:kern w:val="28"/>
          <w:sz w:val="24"/>
          <w:szCs w:val="24"/>
          <w:highlight w:val="none"/>
          <w:lang w:val="en-US" w:eastAsia="zh-CN"/>
        </w:rPr>
        <w:t>杜中</w:t>
      </w:r>
      <w:r>
        <w:rPr>
          <w:rFonts w:hint="default" w:ascii="Times New Roman" w:hAnsi="Times New Roman" w:cs="Times New Roman"/>
          <w:snapToGrid w:val="0"/>
          <w:color w:val="auto"/>
          <w:kern w:val="28"/>
          <w:sz w:val="24"/>
          <w:szCs w:val="24"/>
          <w:highlight w:val="none"/>
          <w:lang w:eastAsia="zh-CN"/>
        </w:rPr>
        <w:t>、</w:t>
      </w:r>
      <w:r>
        <w:rPr>
          <w:rFonts w:hint="default" w:ascii="Times New Roman" w:hAnsi="Times New Roman" w:cs="Times New Roman"/>
          <w:snapToGrid w:val="0"/>
          <w:color w:val="auto"/>
          <w:kern w:val="28"/>
          <w:sz w:val="24"/>
          <w:szCs w:val="24"/>
          <w:highlight w:val="none"/>
        </w:rPr>
        <w:t>杜</w:t>
      </w:r>
      <w:r>
        <w:rPr>
          <w:rFonts w:hint="default" w:ascii="Times New Roman" w:hAnsi="Times New Roman" w:cs="Times New Roman"/>
          <w:snapToGrid w:val="0"/>
          <w:color w:val="auto"/>
          <w:kern w:val="28"/>
          <w:sz w:val="24"/>
          <w:szCs w:val="24"/>
          <w:highlight w:val="none"/>
          <w:lang w:val="en-US" w:eastAsia="zh-CN"/>
        </w:rPr>
        <w:t>刘</w:t>
      </w:r>
      <w:r>
        <w:rPr>
          <w:rFonts w:hint="default" w:ascii="Times New Roman" w:hAnsi="Times New Roman" w:cs="Times New Roman"/>
          <w:snapToGrid w:val="0"/>
          <w:color w:val="auto"/>
          <w:kern w:val="28"/>
          <w:sz w:val="24"/>
          <w:szCs w:val="24"/>
          <w:highlight w:val="none"/>
        </w:rPr>
        <w:t>、</w:t>
      </w:r>
      <w:r>
        <w:rPr>
          <w:rFonts w:hint="default" w:ascii="Times New Roman" w:hAnsi="Times New Roman" w:cs="Times New Roman"/>
          <w:snapToGrid w:val="0"/>
          <w:color w:val="auto"/>
          <w:kern w:val="28"/>
          <w:sz w:val="24"/>
          <w:szCs w:val="24"/>
          <w:highlight w:val="none"/>
          <w:lang w:val="en-US" w:eastAsia="zh-CN"/>
        </w:rPr>
        <w:t>杜南、创杜、</w:t>
      </w:r>
      <w:r>
        <w:rPr>
          <w:rFonts w:hint="default" w:ascii="Times New Roman" w:hAnsi="Times New Roman" w:eastAsia="宋体" w:cs="Times New Roman"/>
          <w:snapToGrid w:val="0"/>
          <w:color w:val="auto"/>
          <w:kern w:val="28"/>
          <w:sz w:val="24"/>
          <w:szCs w:val="24"/>
          <w:highlight w:val="none"/>
          <w:lang w:val="zh-CN"/>
        </w:rPr>
        <w:t>I杜彩线采用</w:t>
      </w:r>
      <w:r>
        <w:rPr>
          <w:rFonts w:hint="default" w:ascii="Times New Roman" w:hAnsi="Times New Roman" w:cs="Times New Roman"/>
          <w:snapToGrid w:val="0"/>
          <w:color w:val="auto"/>
          <w:kern w:val="28"/>
          <w:sz w:val="24"/>
          <w:szCs w:val="24"/>
          <w:highlight w:val="none"/>
          <w:lang w:val="zh-CN"/>
        </w:rPr>
        <w:t>20</w:t>
      </w:r>
      <w:r>
        <w:rPr>
          <w:rFonts w:hint="default" w:ascii="Times New Roman" w:hAnsi="Times New Roman" w:cs="Times New Roman"/>
          <w:snapToGrid w:val="0"/>
          <w:color w:val="auto"/>
          <w:kern w:val="28"/>
          <w:sz w:val="24"/>
          <w:szCs w:val="24"/>
          <w:highlight w:val="none"/>
        </w:rPr>
        <w:t>17</w:t>
      </w:r>
      <w:r>
        <w:rPr>
          <w:rFonts w:hint="default" w:ascii="Times New Roman" w:hAnsi="Times New Roman" w:cs="Times New Roman"/>
          <w:snapToGrid w:val="0"/>
          <w:color w:val="auto"/>
          <w:kern w:val="28"/>
          <w:sz w:val="24"/>
          <w:szCs w:val="24"/>
          <w:highlight w:val="none"/>
          <w:lang w:val="zh-CN"/>
        </w:rPr>
        <w:t xml:space="preserve"> 年</w:t>
      </w:r>
      <w:r>
        <w:rPr>
          <w:rFonts w:hint="default" w:ascii="Times New Roman" w:hAnsi="Times New Roman" w:cs="Times New Roman"/>
          <w:snapToGrid w:val="0"/>
          <w:color w:val="auto"/>
          <w:kern w:val="28"/>
          <w:sz w:val="24"/>
          <w:szCs w:val="24"/>
          <w:highlight w:val="none"/>
          <w:lang w:val="en-US" w:eastAsia="zh-CN"/>
        </w:rPr>
        <w:t>南瑞继保</w:t>
      </w:r>
      <w:r>
        <w:rPr>
          <w:rFonts w:hint="default" w:ascii="Times New Roman" w:hAnsi="Times New Roman" w:cs="Times New Roman"/>
          <w:snapToGrid w:val="0"/>
          <w:color w:val="auto"/>
          <w:kern w:val="28"/>
          <w:sz w:val="24"/>
          <w:szCs w:val="24"/>
          <w:highlight w:val="none"/>
        </w:rPr>
        <w:t xml:space="preserve"> </w:t>
      </w:r>
      <w:r>
        <w:rPr>
          <w:rFonts w:hint="default" w:ascii="Times New Roman" w:hAnsi="Times New Roman" w:cs="Times New Roman"/>
          <w:snapToGrid w:val="0"/>
          <w:color w:val="auto"/>
          <w:kern w:val="28"/>
          <w:sz w:val="24"/>
          <w:szCs w:val="24"/>
          <w:highlight w:val="none"/>
          <w:lang w:val="en-US" w:eastAsia="zh-CN"/>
        </w:rPr>
        <w:t>PCS</w:t>
      </w:r>
      <w:r>
        <w:rPr>
          <w:rFonts w:hint="default" w:ascii="Times New Roman" w:hAnsi="Times New Roman" w:cs="Times New Roman"/>
          <w:snapToGrid w:val="0"/>
          <w:color w:val="auto"/>
          <w:kern w:val="28"/>
          <w:sz w:val="24"/>
          <w:szCs w:val="24"/>
          <w:highlight w:val="none"/>
        </w:rPr>
        <w:t>-</w:t>
      </w:r>
      <w:r>
        <w:rPr>
          <w:rFonts w:hint="default" w:ascii="Times New Roman" w:hAnsi="Times New Roman" w:cs="Times New Roman"/>
          <w:snapToGrid w:val="0"/>
          <w:color w:val="auto"/>
          <w:kern w:val="28"/>
          <w:sz w:val="24"/>
          <w:szCs w:val="24"/>
          <w:highlight w:val="none"/>
          <w:lang w:val="en-US" w:eastAsia="zh-CN"/>
        </w:rPr>
        <w:t>941</w:t>
      </w:r>
      <w:r>
        <w:rPr>
          <w:rFonts w:hint="default" w:ascii="Times New Roman" w:hAnsi="Times New Roman" w:cs="Times New Roman"/>
          <w:snapToGrid w:val="0"/>
          <w:color w:val="auto"/>
          <w:kern w:val="28"/>
          <w:sz w:val="24"/>
          <w:szCs w:val="24"/>
          <w:highlight w:val="none"/>
        </w:rPr>
        <w:t>型</w:t>
      </w:r>
      <w:r>
        <w:rPr>
          <w:rFonts w:hint="default" w:ascii="Times New Roman" w:hAnsi="Times New Roman" w:cs="Times New Roman"/>
          <w:snapToGrid w:val="0"/>
          <w:color w:val="auto"/>
          <w:kern w:val="28"/>
          <w:sz w:val="24"/>
          <w:szCs w:val="24"/>
          <w:highlight w:val="none"/>
          <w:lang w:val="zh-CN"/>
        </w:rPr>
        <w:t>距离保护，</w:t>
      </w:r>
      <w:r>
        <w:rPr>
          <w:rFonts w:hint="default" w:ascii="Times New Roman" w:hAnsi="Times New Roman" w:cs="Times New Roman"/>
          <w:snapToGrid w:val="0"/>
          <w:color w:val="auto"/>
          <w:kern w:val="28"/>
          <w:sz w:val="24"/>
          <w:szCs w:val="24"/>
          <w:highlight w:val="none"/>
          <w:lang w:val="zh-CN" w:eastAsia="zh-CN"/>
        </w:rPr>
        <w:t>杜青间隔</w:t>
      </w:r>
      <w:r>
        <w:rPr>
          <w:rFonts w:hint="default" w:ascii="Times New Roman" w:hAnsi="Times New Roman" w:cs="Times New Roman"/>
          <w:snapToGrid w:val="0"/>
          <w:color w:val="auto"/>
          <w:kern w:val="28"/>
          <w:sz w:val="24"/>
          <w:szCs w:val="24"/>
          <w:highlight w:val="none"/>
          <w:lang w:val="en-US" w:eastAsia="zh-CN"/>
        </w:rPr>
        <w:t>采用</w:t>
      </w:r>
      <w:r>
        <w:rPr>
          <w:rFonts w:hint="default" w:ascii="Times New Roman" w:hAnsi="Times New Roman" w:cs="Times New Roman"/>
          <w:snapToGrid w:val="0"/>
          <w:color w:val="auto"/>
          <w:kern w:val="28"/>
          <w:sz w:val="24"/>
          <w:szCs w:val="24"/>
          <w:highlight w:val="none"/>
          <w:lang w:val="zh-CN" w:eastAsia="zh-CN"/>
        </w:rPr>
        <w:t>2019年</w:t>
      </w:r>
      <w:r>
        <w:rPr>
          <w:rFonts w:hint="default" w:ascii="Times New Roman" w:hAnsi="Times New Roman" w:cs="Times New Roman"/>
          <w:snapToGrid w:val="0"/>
          <w:color w:val="auto"/>
          <w:kern w:val="28"/>
          <w:sz w:val="24"/>
          <w:szCs w:val="24"/>
          <w:highlight w:val="none"/>
          <w:lang w:val="en-US" w:eastAsia="zh-CN"/>
        </w:rPr>
        <w:t>国电南瑞</w:t>
      </w:r>
      <w:r>
        <w:rPr>
          <w:rFonts w:hint="default" w:ascii="Times New Roman" w:hAnsi="Times New Roman" w:cs="Times New Roman"/>
          <w:snapToGrid w:val="0"/>
          <w:color w:val="auto"/>
          <w:kern w:val="28"/>
          <w:sz w:val="24"/>
          <w:szCs w:val="24"/>
          <w:highlight w:val="none"/>
          <w:lang w:val="zh-CN" w:eastAsia="zh-CN"/>
        </w:rPr>
        <w:t>的</w:t>
      </w:r>
      <w:r>
        <w:rPr>
          <w:rFonts w:hint="default" w:ascii="Times New Roman" w:hAnsi="Times New Roman" w:cs="Times New Roman"/>
          <w:snapToGrid w:val="0"/>
          <w:color w:val="auto"/>
          <w:kern w:val="28"/>
          <w:sz w:val="24"/>
          <w:szCs w:val="24"/>
          <w:highlight w:val="none"/>
          <w:lang w:val="en-US" w:eastAsia="zh-CN"/>
        </w:rPr>
        <w:t>NSR-304T-G三端光差保护装置</w:t>
      </w:r>
      <w:r>
        <w:rPr>
          <w:rFonts w:hint="default" w:ascii="Times New Roman" w:hAnsi="Times New Roman" w:cs="Times New Roman"/>
          <w:snapToGrid w:val="0"/>
          <w:color w:val="auto"/>
          <w:kern w:val="28"/>
          <w:sz w:val="24"/>
          <w:szCs w:val="24"/>
          <w:highlight w:val="none"/>
          <w:lang w:eastAsia="zh-CN"/>
        </w:rPr>
        <w:t>，</w:t>
      </w:r>
      <w:r>
        <w:rPr>
          <w:rFonts w:hint="default" w:ascii="Times New Roman" w:hAnsi="Times New Roman" w:cs="Times New Roman"/>
          <w:snapToGrid w:val="0"/>
          <w:color w:val="auto"/>
          <w:kern w:val="28"/>
          <w:sz w:val="24"/>
          <w:szCs w:val="24"/>
          <w:highlight w:val="none"/>
          <w:lang w:val="zh-CN"/>
        </w:rPr>
        <w:t>110kV母联保护</w:t>
      </w:r>
      <w:r>
        <w:rPr>
          <w:rFonts w:hint="default" w:ascii="Times New Roman" w:hAnsi="Times New Roman" w:cs="Times New Roman"/>
          <w:snapToGrid w:val="0"/>
          <w:color w:val="auto"/>
          <w:kern w:val="28"/>
          <w:sz w:val="24"/>
          <w:szCs w:val="24"/>
          <w:highlight w:val="none"/>
        </w:rPr>
        <w:t>采用</w:t>
      </w:r>
      <w:r>
        <w:rPr>
          <w:rFonts w:hint="default" w:ascii="Times New Roman" w:hAnsi="Times New Roman" w:cs="Times New Roman"/>
          <w:snapToGrid w:val="0"/>
          <w:color w:val="auto"/>
          <w:kern w:val="28"/>
          <w:sz w:val="24"/>
          <w:szCs w:val="24"/>
          <w:highlight w:val="none"/>
          <w:lang w:val="zh-CN"/>
        </w:rPr>
        <w:t>20</w:t>
      </w:r>
      <w:r>
        <w:rPr>
          <w:rFonts w:hint="default" w:ascii="Times New Roman" w:hAnsi="Times New Roman" w:cs="Times New Roman"/>
          <w:snapToGrid w:val="0"/>
          <w:color w:val="auto"/>
          <w:kern w:val="28"/>
          <w:sz w:val="24"/>
          <w:szCs w:val="24"/>
          <w:highlight w:val="none"/>
        </w:rPr>
        <w:t>17</w:t>
      </w:r>
      <w:r>
        <w:rPr>
          <w:rFonts w:hint="default" w:ascii="Times New Roman" w:hAnsi="Times New Roman" w:cs="Times New Roman"/>
          <w:snapToGrid w:val="0"/>
          <w:color w:val="auto"/>
          <w:kern w:val="28"/>
          <w:sz w:val="24"/>
          <w:szCs w:val="24"/>
          <w:highlight w:val="none"/>
          <w:lang w:val="zh-CN"/>
        </w:rPr>
        <w:t>年</w:t>
      </w:r>
      <w:r>
        <w:rPr>
          <w:rFonts w:hint="default" w:ascii="Times New Roman" w:hAnsi="Times New Roman" w:cs="Times New Roman"/>
          <w:snapToGrid w:val="0"/>
          <w:color w:val="auto"/>
          <w:kern w:val="28"/>
          <w:sz w:val="24"/>
          <w:szCs w:val="24"/>
          <w:highlight w:val="none"/>
          <w:lang w:val="en-US" w:eastAsia="zh-CN"/>
        </w:rPr>
        <w:t>南瑞继保PCS</w:t>
      </w:r>
      <w:r>
        <w:rPr>
          <w:rFonts w:hint="default" w:ascii="Times New Roman" w:hAnsi="Times New Roman" w:cs="Times New Roman"/>
          <w:snapToGrid w:val="0"/>
          <w:color w:val="auto"/>
          <w:kern w:val="28"/>
          <w:sz w:val="24"/>
          <w:szCs w:val="24"/>
          <w:highlight w:val="none"/>
        </w:rPr>
        <w:t>-</w:t>
      </w:r>
      <w:r>
        <w:rPr>
          <w:rFonts w:hint="default" w:ascii="Times New Roman" w:hAnsi="Times New Roman" w:cs="Times New Roman"/>
          <w:snapToGrid w:val="0"/>
          <w:color w:val="auto"/>
          <w:kern w:val="28"/>
          <w:sz w:val="24"/>
          <w:szCs w:val="24"/>
          <w:highlight w:val="none"/>
          <w:lang w:val="en-US" w:eastAsia="zh-CN"/>
        </w:rPr>
        <w:t>923</w:t>
      </w:r>
      <w:r>
        <w:rPr>
          <w:rFonts w:hint="default" w:ascii="Times New Roman" w:hAnsi="Times New Roman" w:cs="Times New Roman"/>
          <w:snapToGrid w:val="0"/>
          <w:color w:val="auto"/>
          <w:kern w:val="28"/>
          <w:sz w:val="24"/>
          <w:szCs w:val="24"/>
          <w:highlight w:val="none"/>
          <w:lang w:val="zh-CN"/>
        </w:rPr>
        <w:t>保护装置，110kV故障录波装置采用2014年南京航</w:t>
      </w:r>
      <w:r>
        <w:rPr>
          <w:rFonts w:hint="default" w:ascii="Times New Roman" w:hAnsi="Times New Roman" w:cs="Times New Roman"/>
          <w:snapToGrid w:val="0"/>
          <w:color w:val="auto"/>
          <w:kern w:val="28"/>
          <w:sz w:val="24"/>
          <w:szCs w:val="24"/>
          <w:highlight w:val="none"/>
        </w:rPr>
        <w:t>天</w:t>
      </w:r>
      <w:r>
        <w:rPr>
          <w:rFonts w:hint="default" w:ascii="Times New Roman" w:hAnsi="Times New Roman" w:cs="Times New Roman"/>
          <w:snapToGrid w:val="0"/>
          <w:color w:val="auto"/>
          <w:kern w:val="28"/>
          <w:sz w:val="24"/>
          <w:szCs w:val="24"/>
          <w:highlight w:val="none"/>
          <w:lang w:val="zh-CN"/>
        </w:rPr>
        <w:t>银山YS-900装置，运行状况良好。110kV母线保护采用2004</w:t>
      </w:r>
      <w:r>
        <w:rPr>
          <w:rFonts w:hint="default" w:ascii="Times New Roman" w:hAnsi="Times New Roman" w:cs="Times New Roman"/>
          <w:snapToGrid w:val="0"/>
          <w:color w:val="auto"/>
          <w:kern w:val="28"/>
          <w:sz w:val="24"/>
          <w:szCs w:val="24"/>
          <w:highlight w:val="none"/>
        </w:rPr>
        <w:t>年</w:t>
      </w:r>
      <w:r>
        <w:rPr>
          <w:rFonts w:hint="default" w:ascii="Times New Roman" w:hAnsi="Times New Roman" w:cs="Times New Roman"/>
          <w:snapToGrid w:val="0"/>
          <w:color w:val="auto"/>
          <w:kern w:val="28"/>
          <w:sz w:val="24"/>
          <w:szCs w:val="24"/>
          <w:highlight w:val="none"/>
          <w:lang w:val="zh-CN"/>
        </w:rPr>
        <w:t>为国电南自公司生产的WMZ-41B型母差保护装置，保护运行状态一般，</w:t>
      </w:r>
      <w:r>
        <w:rPr>
          <w:rFonts w:hint="default" w:ascii="Times New Roman" w:hAnsi="Times New Roman" w:cs="Times New Roman"/>
          <w:snapToGrid w:val="0"/>
          <w:color w:val="auto"/>
          <w:kern w:val="28"/>
          <w:sz w:val="24"/>
          <w:szCs w:val="24"/>
          <w:highlight w:val="none"/>
        </w:rPr>
        <w:t>已列入技改工程</w:t>
      </w:r>
      <w:r>
        <w:rPr>
          <w:rFonts w:hint="default" w:ascii="Times New Roman" w:hAnsi="Times New Roman" w:cs="Times New Roman"/>
          <w:snapToGrid w:val="0"/>
          <w:color w:val="auto"/>
          <w:kern w:val="28"/>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hint="default" w:ascii="Times New Roman" w:hAnsi="Times New Roman" w:eastAsia="宋体" w:cs="Times New Roman"/>
          <w:snapToGrid w:val="0"/>
          <w:color w:val="auto"/>
          <w:kern w:val="28"/>
          <w:sz w:val="24"/>
          <w:szCs w:val="24"/>
          <w:highlight w:val="none"/>
          <w:lang w:val="en-US" w:eastAsia="zh-CN"/>
        </w:rPr>
      </w:pPr>
      <w:r>
        <w:rPr>
          <w:rFonts w:hint="default" w:ascii="Times New Roman" w:hAnsi="Times New Roman" w:cs="Times New Roman"/>
          <w:snapToGrid w:val="0"/>
          <w:color w:val="auto"/>
          <w:kern w:val="18"/>
          <w:sz w:val="24"/>
          <w:szCs w:val="24"/>
          <w:highlight w:val="none"/>
          <w:lang w:val="en-US" w:eastAsia="zh-CN"/>
        </w:rPr>
        <w:t>9</w:t>
      </w:r>
      <w:r>
        <w:rPr>
          <w:rFonts w:hint="default" w:ascii="Times New Roman" w:hAnsi="Times New Roman" w:cs="Times New Roman"/>
          <w:snapToGrid w:val="0"/>
          <w:color w:val="auto"/>
          <w:kern w:val="18"/>
          <w:sz w:val="24"/>
          <w:szCs w:val="24"/>
          <w:highlight w:val="none"/>
        </w:rPr>
        <w:t>.1.2.2</w:t>
      </w:r>
      <w:r>
        <w:rPr>
          <w:rFonts w:hint="default" w:ascii="Times New Roman" w:hAnsi="Times New Roman" w:eastAsia="宋体" w:cs="Times New Roman"/>
          <w:snapToGrid w:val="0"/>
          <w:color w:val="auto"/>
          <w:kern w:val="28"/>
          <w:sz w:val="24"/>
          <w:szCs w:val="24"/>
          <w:highlight w:val="none"/>
          <w:lang w:val="en-US" w:eastAsia="zh-CN"/>
        </w:rPr>
        <w:t xml:space="preserve"> 拟建工程</w:t>
      </w:r>
    </w:p>
    <w:p>
      <w:pPr>
        <w:keepNext w:val="0"/>
        <w:keepLines w:val="0"/>
        <w:pageBreakBefore w:val="0"/>
        <w:widowControl/>
        <w:tabs>
          <w:tab w:val="left" w:pos="680"/>
        </w:tabs>
        <w:kinsoku/>
        <w:wordWrap/>
        <w:overflowPunct/>
        <w:topLinePunct w:val="0"/>
        <w:autoSpaceDE/>
        <w:autoSpaceDN/>
        <w:bidi w:val="0"/>
        <w:snapToGrid/>
        <w:spacing w:line="560" w:lineRule="exact"/>
        <w:ind w:firstLine="480" w:firstLineChars="200"/>
        <w:jc w:val="both"/>
        <w:textAlignment w:val="auto"/>
        <w:rPr>
          <w:rFonts w:hint="default" w:ascii="Times New Roman" w:hAnsi="Times New Roman" w:eastAsia="宋体" w:cs="Times New Roman"/>
          <w:snapToGrid w:val="0"/>
          <w:color w:val="auto"/>
          <w:kern w:val="28"/>
          <w:sz w:val="24"/>
          <w:szCs w:val="24"/>
          <w:highlight w:val="none"/>
          <w:lang w:val="zh-CN"/>
        </w:rPr>
      </w:pPr>
      <w:r>
        <w:rPr>
          <w:rFonts w:hint="default" w:ascii="Times New Roman" w:hAnsi="Times New Roman" w:eastAsia="宋体" w:cs="Times New Roman"/>
          <w:snapToGrid w:val="0"/>
          <w:color w:val="auto"/>
          <w:kern w:val="28"/>
          <w:sz w:val="24"/>
          <w:szCs w:val="24"/>
          <w:highlight w:val="none"/>
          <w:lang w:val="zh-CN"/>
        </w:rPr>
        <w:t>安阳市杜家庵-香木（马投涧）110kVII回线路工程</w:t>
      </w:r>
      <w:r>
        <w:rPr>
          <w:rFonts w:hint="default" w:ascii="Times New Roman" w:hAnsi="Times New Roman" w:eastAsia="宋体" w:cs="Times New Roman"/>
          <w:snapToGrid w:val="0"/>
          <w:color w:val="auto"/>
          <w:kern w:val="28"/>
          <w:sz w:val="24"/>
          <w:szCs w:val="24"/>
          <w:highlight w:val="none"/>
          <w:lang w:val="en-US" w:eastAsia="zh-CN"/>
        </w:rPr>
        <w:t>中</w:t>
      </w:r>
      <w:r>
        <w:rPr>
          <w:rFonts w:hint="default" w:ascii="Times New Roman" w:hAnsi="Times New Roman" w:eastAsia="宋体" w:cs="Times New Roman"/>
          <w:snapToGrid w:val="0"/>
          <w:color w:val="auto"/>
          <w:kern w:val="28"/>
          <w:sz w:val="24"/>
          <w:szCs w:val="24"/>
          <w:highlight w:val="none"/>
          <w:lang w:val="zh-CN"/>
        </w:rPr>
        <w:t>，220kV杜家庵变110kV侧新建1回完整出线间隔至香木（马投涧）变，占用220kV杜家庵变东数第六出线间隔;</w:t>
      </w:r>
      <w:r>
        <w:rPr>
          <w:rFonts w:hint="default" w:ascii="Times New Roman" w:hAnsi="Times New Roman" w:eastAsia="宋体" w:cs="Times New Roman"/>
          <w:snapToGrid w:val="0"/>
          <w:color w:val="auto"/>
          <w:kern w:val="28"/>
          <w:sz w:val="24"/>
          <w:szCs w:val="24"/>
          <w:highlight w:val="none"/>
          <w:lang w:val="en-US" w:eastAsia="zh-CN"/>
        </w:rPr>
        <w:t>1</w:t>
      </w:r>
      <w:r>
        <w:rPr>
          <w:rFonts w:hint="default" w:ascii="Times New Roman" w:hAnsi="Times New Roman" w:eastAsia="宋体" w:cs="Times New Roman"/>
          <w:snapToGrid w:val="0"/>
          <w:color w:val="auto"/>
          <w:kern w:val="28"/>
          <w:sz w:val="24"/>
          <w:szCs w:val="24"/>
          <w:highlight w:val="none"/>
          <w:lang w:val="zh-CN"/>
        </w:rPr>
        <w:t>回不完整出线间隔占用220kV杜家庵变东数第十出线间隔</w:t>
      </w:r>
      <w:r>
        <w:rPr>
          <w:rFonts w:hint="default" w:ascii="Times New Roman" w:hAnsi="Times New Roman" w:eastAsia="宋体" w:cs="Times New Roman"/>
          <w:snapToGrid w:val="0"/>
          <w:color w:val="auto"/>
          <w:kern w:val="28"/>
          <w:sz w:val="24"/>
          <w:szCs w:val="24"/>
          <w:highlight w:val="none"/>
          <w:lang w:val="zh-CN" w:eastAsia="zh-CN"/>
        </w:rPr>
        <w:t>。</w:t>
      </w:r>
    </w:p>
    <w:p>
      <w:pPr>
        <w:keepNext w:val="0"/>
        <w:keepLines w:val="0"/>
        <w:pageBreakBefore w:val="0"/>
        <w:widowControl/>
        <w:tabs>
          <w:tab w:val="left" w:pos="680"/>
        </w:tabs>
        <w:kinsoku/>
        <w:wordWrap/>
        <w:overflowPunct/>
        <w:topLinePunct w:val="0"/>
        <w:autoSpaceDE/>
        <w:autoSpaceDN/>
        <w:bidi w:val="0"/>
        <w:snapToGrid/>
        <w:spacing w:line="560" w:lineRule="exact"/>
        <w:ind w:firstLine="480" w:firstLineChars="200"/>
        <w:jc w:val="both"/>
        <w:textAlignment w:val="auto"/>
        <w:rPr>
          <w:rFonts w:hint="default" w:ascii="Times New Roman" w:hAnsi="Times New Roman" w:eastAsia="宋体" w:cs="Times New Roman"/>
          <w:snapToGrid w:val="0"/>
          <w:color w:val="auto"/>
          <w:kern w:val="28"/>
          <w:sz w:val="24"/>
          <w:szCs w:val="24"/>
          <w:highlight w:val="none"/>
          <w:lang w:val="en-US" w:eastAsia="zh-CN"/>
        </w:rPr>
      </w:pPr>
      <w:r>
        <w:rPr>
          <w:rFonts w:hint="default" w:ascii="Times New Roman" w:hAnsi="Times New Roman" w:eastAsia="宋体" w:cs="Times New Roman"/>
          <w:snapToGrid w:val="0"/>
          <w:color w:val="auto"/>
          <w:kern w:val="28"/>
          <w:sz w:val="24"/>
          <w:szCs w:val="24"/>
          <w:highlight w:val="none"/>
          <w:lang w:val="zh-CN"/>
        </w:rPr>
        <w:t>杜家庵-香木（马投涧）</w:t>
      </w:r>
      <w:r>
        <w:rPr>
          <w:rFonts w:hint="default" w:ascii="Times New Roman" w:hAnsi="Times New Roman" w:eastAsia="宋体" w:cs="Times New Roman"/>
          <w:snapToGrid w:val="0"/>
          <w:color w:val="auto"/>
          <w:kern w:val="28"/>
          <w:sz w:val="24"/>
          <w:szCs w:val="24"/>
          <w:highlight w:val="none"/>
          <w:lang w:val="en-US" w:eastAsia="zh-CN"/>
        </w:rPr>
        <w:t>线拟配置1套南瑞继保的PCS-943A-G光纤差动保护(施工设计阶段）。</w:t>
      </w:r>
    </w:p>
    <w:p>
      <w:pPr>
        <w:pStyle w:val="2"/>
        <w:keepNext w:val="0"/>
        <w:keepLines w:val="0"/>
        <w:pageBreakBefore w:val="0"/>
        <w:kinsoku/>
        <w:wordWrap/>
        <w:overflowPunct/>
        <w:topLinePunct w:val="0"/>
        <w:bidi w:val="0"/>
        <w:snapToGrid/>
        <w:spacing w:line="460" w:lineRule="exact"/>
        <w:ind w:left="0" w:leftChars="0" w:firstLine="0" w:firstLineChars="0"/>
        <w:textAlignment w:val="auto"/>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cs="Times New Roman"/>
          <w:snapToGrid w:val="0"/>
          <w:color w:val="auto"/>
          <w:kern w:val="18"/>
          <w:sz w:val="24"/>
          <w:szCs w:val="24"/>
          <w:highlight w:val="none"/>
          <w:lang w:val="en-US" w:eastAsia="zh-CN"/>
        </w:rPr>
        <w:t>9</w:t>
      </w:r>
      <w:r>
        <w:rPr>
          <w:rFonts w:hint="default" w:ascii="Times New Roman" w:hAnsi="Times New Roman" w:cs="Times New Roman"/>
          <w:snapToGrid w:val="0"/>
          <w:color w:val="auto"/>
          <w:kern w:val="18"/>
          <w:sz w:val="24"/>
          <w:szCs w:val="24"/>
          <w:highlight w:val="none"/>
        </w:rPr>
        <w:t>.1.2.</w:t>
      </w:r>
      <w:r>
        <w:rPr>
          <w:rFonts w:hint="default" w:ascii="Times New Roman" w:hAnsi="Times New Roman" w:cs="Times New Roman"/>
          <w:snapToGrid w:val="0"/>
          <w:color w:val="auto"/>
          <w:kern w:val="18"/>
          <w:sz w:val="24"/>
          <w:szCs w:val="24"/>
          <w:highlight w:val="none"/>
          <w:lang w:val="en-US" w:eastAsia="zh-CN"/>
        </w:rPr>
        <w:t>3</w:t>
      </w:r>
      <w:r>
        <w:rPr>
          <w:rFonts w:hint="default" w:ascii="Times New Roman" w:hAnsi="Times New Roman" w:cs="Times New Roman"/>
          <w:snapToGrid w:val="0"/>
          <w:color w:val="auto"/>
          <w:kern w:val="18"/>
          <w:sz w:val="24"/>
          <w:szCs w:val="24"/>
          <w:highlight w:val="none"/>
        </w:rPr>
        <w:t>本期工程</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rPr>
        <w:t>本期</w:t>
      </w:r>
      <w:r>
        <w:rPr>
          <w:rFonts w:hint="default" w:ascii="Times New Roman" w:hAnsi="Times New Roman" w:cs="Times New Roman"/>
          <w:color w:val="auto"/>
          <w:kern w:val="0"/>
          <w:sz w:val="24"/>
          <w:szCs w:val="24"/>
          <w:highlight w:val="none"/>
          <w:lang w:eastAsia="zh-CN"/>
        </w:rPr>
        <w:t>仅调试</w:t>
      </w:r>
      <w:r>
        <w:rPr>
          <w:rFonts w:hint="default" w:ascii="Times New Roman" w:hAnsi="Times New Roman" w:cs="Times New Roman"/>
          <w:snapToGrid w:val="0"/>
          <w:color w:val="auto"/>
          <w:kern w:val="28"/>
          <w:sz w:val="24"/>
          <w:szCs w:val="24"/>
          <w:highlight w:val="none"/>
        </w:rPr>
        <w:t>杜</w:t>
      </w:r>
      <w:r>
        <w:rPr>
          <w:rFonts w:hint="default" w:ascii="Times New Roman" w:hAnsi="Times New Roman" w:cs="Times New Roman"/>
          <w:snapToGrid w:val="0"/>
          <w:color w:val="auto"/>
          <w:kern w:val="28"/>
          <w:sz w:val="24"/>
          <w:szCs w:val="24"/>
          <w:highlight w:val="none"/>
          <w:lang w:val="en-US" w:eastAsia="zh-CN"/>
        </w:rPr>
        <w:t>青</w:t>
      </w:r>
      <w:r>
        <w:rPr>
          <w:rFonts w:hint="default" w:ascii="Times New Roman" w:hAnsi="Times New Roman" w:cs="Times New Roman"/>
          <w:snapToGrid w:val="0"/>
          <w:color w:val="auto"/>
          <w:kern w:val="28"/>
          <w:sz w:val="24"/>
          <w:szCs w:val="24"/>
          <w:highlight w:val="none"/>
        </w:rPr>
        <w:t>线</w:t>
      </w:r>
      <w:r>
        <w:rPr>
          <w:rFonts w:hint="default" w:ascii="Times New Roman" w:hAnsi="Times New Roman" w:cs="Times New Roman"/>
          <w:color w:val="auto"/>
          <w:kern w:val="0"/>
          <w:sz w:val="24"/>
          <w:szCs w:val="24"/>
          <w:highlight w:val="none"/>
          <w:lang w:eastAsia="zh-CN"/>
        </w:rPr>
        <w:t>间隔保护装置。</w:t>
      </w:r>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 xml:space="preserve">9.1.3 调度自动化 </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本期无工作量。</w:t>
      </w:r>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 xml:space="preserve">9.1.4 通信 </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本期无工作量。</w:t>
      </w:r>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9.1.5 土建</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本期无工作量。</w:t>
      </w:r>
    </w:p>
    <w:p>
      <w:pPr>
        <w:keepNext w:val="0"/>
        <w:keepLines w:val="0"/>
        <w:pageBreakBefore w:val="0"/>
        <w:kinsoku/>
        <w:wordWrap/>
        <w:overflowPunct/>
        <w:topLinePunct w:val="0"/>
        <w:bidi w:val="0"/>
        <w:snapToGrid/>
        <w:spacing w:line="460" w:lineRule="exact"/>
        <w:jc w:val="left"/>
        <w:outlineLvl w:val="1"/>
        <w:rPr>
          <w:rFonts w:hint="default" w:ascii="Times New Roman" w:hAnsi="Times New Roman" w:eastAsia="宋体" w:cs="Times New Roman"/>
          <w:snapToGrid w:val="0"/>
          <w:color w:val="auto"/>
          <w:kern w:val="18"/>
          <w:sz w:val="24"/>
          <w:szCs w:val="24"/>
          <w:highlight w:val="none"/>
          <w:lang w:val="en-US" w:eastAsia="zh-CN"/>
        </w:rPr>
      </w:pPr>
      <w:bookmarkStart w:id="309" w:name="_Toc5306"/>
      <w:r>
        <w:rPr>
          <w:rFonts w:hint="default" w:ascii="Times New Roman" w:hAnsi="Times New Roman" w:cs="Times New Roman"/>
          <w:color w:val="auto"/>
          <w:kern w:val="21"/>
          <w:sz w:val="24"/>
          <w:szCs w:val="24"/>
          <w:highlight w:val="none"/>
          <w:lang w:val="en-US" w:eastAsia="zh-CN"/>
        </w:rPr>
        <w:t xml:space="preserve">9.2  </w:t>
      </w:r>
      <w:r>
        <w:rPr>
          <w:rFonts w:hint="default" w:ascii="Times New Roman" w:hAnsi="Times New Roman" w:eastAsia="宋体" w:cs="Times New Roman"/>
          <w:snapToGrid w:val="0"/>
          <w:color w:val="auto"/>
          <w:kern w:val="18"/>
          <w:sz w:val="24"/>
          <w:szCs w:val="24"/>
          <w:highlight w:val="none"/>
          <w:lang w:val="en-US" w:eastAsia="zh-CN"/>
        </w:rPr>
        <w:t>1</w:t>
      </w:r>
      <w:r>
        <w:rPr>
          <w:rFonts w:hint="default" w:ascii="Times New Roman" w:hAnsi="Times New Roman" w:eastAsia="宋体" w:cs="Times New Roman"/>
          <w:color w:val="auto"/>
          <w:kern w:val="21"/>
          <w:sz w:val="24"/>
          <w:szCs w:val="24"/>
          <w:highlight w:val="none"/>
          <w:lang w:val="en-US" w:eastAsia="zh-CN"/>
        </w:rPr>
        <w:t>10kV</w:t>
      </w:r>
      <w:r>
        <w:rPr>
          <w:rFonts w:hint="default" w:ascii="Times New Roman" w:hAnsi="Times New Roman" w:eastAsia="宋体" w:cs="Times New Roman"/>
          <w:snapToGrid w:val="0"/>
          <w:color w:val="auto"/>
          <w:kern w:val="18"/>
          <w:sz w:val="24"/>
          <w:szCs w:val="24"/>
          <w:highlight w:val="none"/>
          <w:lang w:val="en-US" w:eastAsia="zh-CN"/>
        </w:rPr>
        <w:t>熙彩变电站</w:t>
      </w:r>
      <w:bookmarkEnd w:id="309"/>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9.2.1 电气一次</w:t>
      </w:r>
    </w:p>
    <w:p>
      <w:pPr>
        <w:keepNext w:val="0"/>
        <w:keepLines w:val="0"/>
        <w:pageBreakBefore w:val="0"/>
        <w:kinsoku/>
        <w:wordWrap/>
        <w:overflowPunct/>
        <w:topLinePunct w:val="0"/>
        <w:bidi w:val="0"/>
        <w:snapToGrid/>
        <w:spacing w:line="460" w:lineRule="exac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.1.1  变电站概况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default" w:ascii="Times New Roman" w:hAnsi="Times New Roman" w:cs="Times New Roman"/>
          <w:snapToGrid w:val="0"/>
          <w:color w:val="auto"/>
          <w:kern w:val="28"/>
          <w:sz w:val="24"/>
          <w:szCs w:val="24"/>
          <w:highlight w:val="none"/>
          <w:lang w:val="zh-CN" w:eastAsia="zh-CN"/>
        </w:rPr>
      </w:pPr>
      <w:r>
        <w:rPr>
          <w:rFonts w:hint="default" w:ascii="Times New Roman" w:hAnsi="Times New Roman" w:cs="Times New Roman"/>
          <w:snapToGrid w:val="0"/>
          <w:color w:val="auto"/>
          <w:kern w:val="28"/>
          <w:sz w:val="24"/>
          <w:szCs w:val="24"/>
          <w:highlight w:val="none"/>
          <w:lang w:val="en-US" w:eastAsia="zh-CN"/>
        </w:rPr>
        <w:t>熙彩11</w:t>
      </w:r>
      <w:r>
        <w:rPr>
          <w:rFonts w:hint="default" w:ascii="Times New Roman" w:hAnsi="Times New Roman" w:cs="Times New Roman"/>
          <w:snapToGrid w:val="0"/>
          <w:color w:val="auto"/>
          <w:kern w:val="28"/>
          <w:sz w:val="24"/>
          <w:szCs w:val="24"/>
          <w:highlight w:val="none"/>
        </w:rPr>
        <w:t>0kV变电站位于</w:t>
      </w:r>
      <w:r>
        <w:rPr>
          <w:rFonts w:hint="default" w:ascii="Times New Roman" w:hAnsi="Times New Roman" w:cs="Times New Roman"/>
          <w:color w:val="auto"/>
          <w:sz w:val="24"/>
          <w:szCs w:val="24"/>
          <w:highlight w:val="none"/>
        </w:rPr>
        <w:t>位于龙安区龙康大道北侧、太行南路东侧。</w:t>
      </w:r>
      <w:r>
        <w:rPr>
          <w:rFonts w:hint="default" w:ascii="Times New Roman" w:hAnsi="Times New Roman" w:cs="Times New Roman"/>
          <w:snapToGrid w:val="0"/>
          <w:color w:val="auto"/>
          <w:kern w:val="28"/>
          <w:sz w:val="24"/>
          <w:szCs w:val="24"/>
          <w:highlight w:val="none"/>
        </w:rPr>
        <w:t>于</w:t>
      </w:r>
      <w:r>
        <w:rPr>
          <w:rFonts w:hint="default" w:ascii="Times New Roman" w:hAnsi="Times New Roman" w:cs="Times New Roman"/>
          <w:snapToGrid w:val="0"/>
          <w:color w:val="auto"/>
          <w:kern w:val="28"/>
          <w:sz w:val="24"/>
          <w:szCs w:val="24"/>
          <w:highlight w:val="none"/>
          <w:lang w:val="en-US" w:eastAsia="zh-CN"/>
        </w:rPr>
        <w:t>2019</w:t>
      </w:r>
      <w:r>
        <w:rPr>
          <w:rFonts w:hint="default" w:ascii="Times New Roman" w:hAnsi="Times New Roman" w:cs="Times New Roman"/>
          <w:snapToGrid w:val="0"/>
          <w:color w:val="auto"/>
          <w:kern w:val="28"/>
          <w:sz w:val="24"/>
          <w:szCs w:val="24"/>
          <w:highlight w:val="none"/>
        </w:rPr>
        <w:t>年投运。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snapToGrid w:val="0"/>
          <w:color w:val="auto"/>
          <w:kern w:val="28"/>
          <w:sz w:val="24"/>
          <w:szCs w:val="24"/>
          <w:highlight w:val="none"/>
          <w:lang w:val="en-US" w:eastAsia="zh-CN"/>
        </w:rPr>
        <w:t>主变压器容量40MVA+31.5MVA，</w:t>
      </w:r>
      <w:r>
        <w:rPr>
          <w:rFonts w:hint="default" w:ascii="Times New Roman" w:hAnsi="Times New Roman" w:cs="Times New Roman"/>
          <w:color w:val="auto"/>
          <w:sz w:val="24"/>
          <w:szCs w:val="24"/>
          <w:highlight w:val="none"/>
          <w:lang w:val="en-US" w:eastAsia="zh-CN"/>
        </w:rPr>
        <w:t>110kV配电装置采用</w:t>
      </w:r>
      <w:r>
        <w:rPr>
          <w:rFonts w:hint="default" w:ascii="Times New Roman" w:hAnsi="Times New Roman" w:cs="Times New Roman"/>
          <w:color w:val="auto"/>
          <w:sz w:val="24"/>
          <w:szCs w:val="24"/>
          <w:highlight w:val="none"/>
        </w:rPr>
        <w:t>户</w:t>
      </w:r>
      <w:r>
        <w:rPr>
          <w:rFonts w:hint="default" w:ascii="Times New Roman" w:hAnsi="Times New Roman" w:cs="Times New Roman"/>
          <w:color w:val="auto"/>
          <w:sz w:val="24"/>
          <w:szCs w:val="24"/>
          <w:highlight w:val="none"/>
          <w:lang w:eastAsia="zh-CN"/>
        </w:rPr>
        <w:t>内</w:t>
      </w:r>
      <w:r>
        <w:rPr>
          <w:rFonts w:hint="default" w:ascii="Times New Roman" w:hAnsi="Times New Roman" w:cs="Times New Roman"/>
          <w:color w:val="auto"/>
          <w:sz w:val="24"/>
          <w:szCs w:val="24"/>
          <w:highlight w:val="none"/>
          <w:lang w:val="en-US" w:eastAsia="zh-CN"/>
        </w:rPr>
        <w:t>G</w:t>
      </w:r>
      <w:r>
        <w:rPr>
          <w:rFonts w:hint="default" w:ascii="Times New Roman" w:hAnsi="Times New Roman" w:cs="Times New Roman"/>
          <w:color w:val="auto"/>
          <w:sz w:val="24"/>
          <w:szCs w:val="24"/>
          <w:highlight w:val="none"/>
        </w:rPr>
        <w:t>IS成套设备</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规划</w:t>
      </w:r>
      <w:r>
        <w:rPr>
          <w:rFonts w:hint="default" w:ascii="Times New Roman" w:hAnsi="Times New Roman" w:cs="Times New Roman"/>
          <w:color w:val="auto"/>
          <w:sz w:val="24"/>
          <w:szCs w:val="24"/>
          <w:highlight w:val="none"/>
          <w:lang w:eastAsia="zh-CN"/>
        </w:rPr>
        <w:t>内桥</w:t>
      </w:r>
      <w:r>
        <w:rPr>
          <w:rFonts w:hint="default" w:ascii="Times New Roman" w:hAnsi="Times New Roman" w:cs="Times New Roman"/>
          <w:color w:val="auto"/>
          <w:sz w:val="24"/>
          <w:szCs w:val="24"/>
          <w:highlight w:val="none"/>
        </w:rPr>
        <w:t>接线</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出线2回，已建内桥接线，出线2回，</w:t>
      </w:r>
      <w:r>
        <w:rPr>
          <w:rFonts w:hint="default" w:ascii="Times New Roman" w:hAnsi="Times New Roman" w:cs="Times New Roman"/>
          <w:color w:val="auto"/>
          <w:sz w:val="24"/>
          <w:szCs w:val="24"/>
          <w:highlight w:val="none"/>
        </w:rPr>
        <w:t>由</w:t>
      </w:r>
      <w:r>
        <w:rPr>
          <w:rFonts w:hint="default" w:ascii="Times New Roman" w:hAnsi="Times New Roman" w:cs="Times New Roman"/>
          <w:color w:val="auto"/>
          <w:sz w:val="24"/>
          <w:szCs w:val="24"/>
          <w:highlight w:val="none"/>
          <w:lang w:eastAsia="zh-CN"/>
        </w:rPr>
        <w:t>东</w:t>
      </w:r>
      <w:r>
        <w:rPr>
          <w:rFonts w:hint="default" w:ascii="Times New Roman" w:hAnsi="Times New Roman" w:cs="Times New Roman"/>
          <w:color w:val="auto"/>
          <w:sz w:val="24"/>
          <w:szCs w:val="24"/>
          <w:highlight w:val="none"/>
        </w:rPr>
        <w:t>向</w:t>
      </w:r>
      <w:r>
        <w:rPr>
          <w:rFonts w:hint="default" w:ascii="Times New Roman" w:hAnsi="Times New Roman" w:cs="Times New Roman"/>
          <w:color w:val="auto"/>
          <w:sz w:val="24"/>
          <w:szCs w:val="24"/>
          <w:highlight w:val="none"/>
          <w:lang w:eastAsia="zh-CN"/>
        </w:rPr>
        <w:t>西</w:t>
      </w:r>
      <w:r>
        <w:rPr>
          <w:rFonts w:hint="default" w:ascii="Times New Roman" w:hAnsi="Times New Roman" w:cs="Times New Roman"/>
          <w:color w:val="auto"/>
          <w:sz w:val="24"/>
          <w:szCs w:val="24"/>
          <w:highlight w:val="none"/>
        </w:rPr>
        <w:t>依次为：至香木变</w:t>
      </w:r>
      <w:r>
        <w:rPr>
          <w:rFonts w:hint="default" w:ascii="Times New Roman" w:hAnsi="Times New Roman" w:cs="Times New Roman"/>
          <w:color w:val="auto"/>
          <w:sz w:val="24"/>
          <w:szCs w:val="24"/>
          <w:highlight w:val="none"/>
          <w:lang w:eastAsia="zh-CN"/>
        </w:rPr>
        <w:t>、T接杜青线</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位于配电装置楼二楼，向南架空出线。</w:t>
      </w:r>
    </w:p>
    <w:p>
      <w:pPr>
        <w:keepNext w:val="0"/>
        <w:keepLines w:val="0"/>
        <w:pageBreakBefore w:val="0"/>
        <w:kinsoku/>
        <w:wordWrap/>
        <w:overflowPunct/>
        <w:topLinePunct w:val="0"/>
        <w:bidi w:val="0"/>
        <w:snapToGrid/>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9.2.1.2 本期工程规模</w:t>
      </w:r>
    </w:p>
    <w:p>
      <w:pPr>
        <w:pStyle w:val="2"/>
        <w:keepNext w:val="0"/>
        <w:keepLines w:val="0"/>
        <w:pageBreakBefore w:val="0"/>
        <w:kinsoku/>
        <w:wordWrap/>
        <w:overflowPunct/>
        <w:topLinePunct w:val="0"/>
        <w:bidi w:val="0"/>
        <w:snapToGrid/>
        <w:spacing w:line="460" w:lineRule="exact"/>
        <w:rPr>
          <w:rFonts w:hint="default" w:ascii="Times New Roman" w:hAnsi="Times New Roman" w:eastAsia="宋体" w:cs="Times New Roman"/>
          <w:snapToGrid w:val="0"/>
          <w:color w:val="auto"/>
          <w:kern w:val="28"/>
          <w:sz w:val="24"/>
          <w:szCs w:val="24"/>
          <w:highlight w:val="none"/>
          <w:lang w:val="en-US" w:eastAsia="zh-CN"/>
        </w:rPr>
      </w:pPr>
      <w:r>
        <w:rPr>
          <w:rFonts w:hint="default" w:ascii="Times New Roman" w:hAnsi="Times New Roman" w:cs="Times New Roman"/>
          <w:snapToGrid w:val="0"/>
          <w:color w:val="auto"/>
          <w:kern w:val="28"/>
          <w:sz w:val="24"/>
          <w:szCs w:val="24"/>
          <w:highlight w:val="none"/>
          <w:lang w:val="en-US" w:eastAsia="zh-CN"/>
        </w:rPr>
        <w:t>本期110kV青山变1#主变增容工程，熙彩</w:t>
      </w:r>
      <w:r>
        <w:rPr>
          <w:rFonts w:hint="default" w:ascii="Times New Roman" w:hAnsi="Times New Roman" w:cs="Times New Roman"/>
          <w:snapToGrid w:val="0"/>
          <w:color w:val="auto"/>
          <w:kern w:val="28"/>
          <w:sz w:val="24"/>
          <w:szCs w:val="24"/>
          <w:highlight w:val="none"/>
        </w:rPr>
        <w:t>变侧</w:t>
      </w:r>
      <w:r>
        <w:rPr>
          <w:rFonts w:hint="default" w:ascii="Times New Roman" w:hAnsi="Times New Roman" w:cs="Times New Roman"/>
          <w:snapToGrid w:val="0"/>
          <w:color w:val="auto"/>
          <w:kern w:val="28"/>
          <w:sz w:val="24"/>
          <w:szCs w:val="24"/>
          <w:highlight w:val="none"/>
          <w:lang w:val="en-US" w:eastAsia="zh-CN"/>
        </w:rPr>
        <w:t>涉及</w:t>
      </w:r>
      <w:r>
        <w:rPr>
          <w:rFonts w:hint="default" w:ascii="Times New Roman" w:hAnsi="Times New Roman" w:cs="Times New Roman"/>
          <w:snapToGrid w:val="0"/>
          <w:color w:val="auto"/>
          <w:kern w:val="28"/>
          <w:sz w:val="24"/>
          <w:szCs w:val="24"/>
          <w:highlight w:val="none"/>
        </w:rPr>
        <w:t>原</w:t>
      </w:r>
      <w:r>
        <w:rPr>
          <w:rFonts w:hint="default" w:ascii="Times New Roman" w:hAnsi="Times New Roman" w:cs="Times New Roman"/>
          <w:color w:val="auto"/>
          <w:sz w:val="24"/>
          <w:szCs w:val="24"/>
          <w:highlight w:val="none"/>
          <w:lang w:eastAsia="zh-CN"/>
        </w:rPr>
        <w:t>T接杜青</w:t>
      </w:r>
      <w:r>
        <w:rPr>
          <w:rFonts w:hint="default" w:ascii="Times New Roman" w:hAnsi="Times New Roman" w:cs="Times New Roman"/>
          <w:color w:val="auto"/>
          <w:sz w:val="24"/>
          <w:szCs w:val="24"/>
          <w:highlight w:val="none"/>
          <w:lang w:val="en-US" w:eastAsia="zh-CN"/>
        </w:rPr>
        <w:t>间隔</w:t>
      </w:r>
      <w:r>
        <w:rPr>
          <w:rFonts w:hint="default" w:ascii="Times New Roman" w:hAnsi="Times New Roman" w:cs="Times New Roman"/>
          <w:snapToGrid w:val="0"/>
          <w:color w:val="auto"/>
          <w:kern w:val="28"/>
          <w:sz w:val="24"/>
          <w:szCs w:val="24"/>
          <w:highlight w:val="none"/>
          <w:lang w:val="en-US" w:eastAsia="zh-CN"/>
        </w:rPr>
        <w:t>，</w:t>
      </w:r>
      <w:r>
        <w:rPr>
          <w:rFonts w:hint="default" w:ascii="Times New Roman" w:hAnsi="Times New Roman" w:cs="Times New Roman"/>
          <w:snapToGrid w:val="0"/>
          <w:color w:val="auto"/>
          <w:kern w:val="28"/>
          <w:sz w:val="24"/>
          <w:szCs w:val="24"/>
          <w:highlight w:val="none"/>
        </w:rPr>
        <w:t>即</w:t>
      </w:r>
      <w:r>
        <w:rPr>
          <w:rFonts w:hint="default" w:ascii="Times New Roman" w:hAnsi="Times New Roman" w:cs="Times New Roman"/>
          <w:snapToGrid w:val="0"/>
          <w:color w:val="auto"/>
          <w:kern w:val="28"/>
          <w:sz w:val="24"/>
          <w:szCs w:val="24"/>
          <w:highlight w:val="none"/>
          <w:lang w:val="zh-CN"/>
        </w:rPr>
        <w:t>东数第</w:t>
      </w:r>
      <w:r>
        <w:rPr>
          <w:rFonts w:hint="default" w:ascii="Times New Roman" w:hAnsi="Times New Roman" w:cs="Times New Roman"/>
          <w:snapToGrid w:val="0"/>
          <w:color w:val="auto"/>
          <w:kern w:val="28"/>
          <w:sz w:val="24"/>
          <w:szCs w:val="24"/>
          <w:highlight w:val="none"/>
          <w:lang w:val="en-US" w:eastAsia="zh-CN"/>
        </w:rPr>
        <w:t>二</w:t>
      </w:r>
      <w:r>
        <w:rPr>
          <w:rFonts w:hint="default" w:ascii="Times New Roman" w:hAnsi="Times New Roman" w:cs="Times New Roman"/>
          <w:snapToGrid w:val="0"/>
          <w:color w:val="auto"/>
          <w:kern w:val="28"/>
          <w:sz w:val="24"/>
          <w:szCs w:val="24"/>
          <w:highlight w:val="none"/>
          <w:lang w:val="zh-CN"/>
        </w:rPr>
        <w:t>个出线间隔。</w:t>
      </w:r>
    </w:p>
    <w:p>
      <w:pPr>
        <w:keepNext w:val="0"/>
        <w:keepLines w:val="0"/>
        <w:pageBreakBefore w:val="0"/>
        <w:widowControl/>
        <w:kinsoku/>
        <w:wordWrap/>
        <w:overflowPunct/>
        <w:topLinePunct w:val="0"/>
        <w:bidi w:val="0"/>
        <w:adjustRightInd w:val="0"/>
        <w:snapToGrid/>
        <w:spacing w:line="460" w:lineRule="exact"/>
        <w:ind w:firstLine="384" w:firstLineChars="160"/>
        <w:jc w:val="left"/>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snapToGrid w:val="0"/>
          <w:color w:val="auto"/>
          <w:kern w:val="28"/>
          <w:sz w:val="24"/>
          <w:szCs w:val="24"/>
          <w:highlight w:val="none"/>
        </w:rPr>
        <w:t>110kV设备间隔排布依次如下：</w:t>
      </w: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zh-CN"/>
        </w:rPr>
        <w:t xml:space="preserve">                              </w:t>
      </w:r>
      <w:r>
        <w:rPr>
          <w:rFonts w:hint="default" w:ascii="Times New Roman" w:hAnsi="Times New Roman" w:cs="Times New Roman"/>
          <w:color w:val="auto"/>
          <w:sz w:val="24"/>
          <w:szCs w:val="24"/>
          <w:highlight w:val="none"/>
        </w:rPr>
        <w:t xml:space="preserve">    </w:t>
      </w:r>
    </w:p>
    <w:p>
      <w:pPr>
        <w:ind w:firstLine="4560" w:firstLineChars="19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snapToGrid w:val="0"/>
          <w:color w:val="auto"/>
          <w:kern w:val="28"/>
          <w:sz w:val="24"/>
          <w:szCs w:val="24"/>
          <w:highlight w:val="none"/>
        </w:rPr>
        <w:drawing>
          <wp:inline distT="0" distB="0" distL="114300" distR="114300">
            <wp:extent cx="628650" cy="114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628650" cy="114300"/>
                    </a:xfrm>
                    <a:prstGeom prst="rect">
                      <a:avLst/>
                    </a:prstGeom>
                    <a:noFill/>
                    <a:ln>
                      <a:noFill/>
                    </a:ln>
                  </pic:spPr>
                </pic:pic>
              </a:graphicData>
            </a:graphic>
          </wp:inline>
        </w:drawing>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snapToGrid w:val="0"/>
          <w:color w:val="auto"/>
          <w:kern w:val="28"/>
          <w:sz w:val="24"/>
          <w:szCs w:val="24"/>
          <w:highlight w:val="none"/>
        </w:rPr>
        <w:t>东</w:t>
      </w:r>
    </w:p>
    <w:tbl>
      <w:tblPr>
        <w:tblStyle w:val="50"/>
        <w:tblW w:w="87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2902"/>
        <w:gridCol w:w="2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02" w:type="dxa"/>
            <w:tcBorders>
              <w:top w:val="single" w:color="auto" w:sz="12" w:space="0"/>
              <w:left w:val="single" w:color="auto" w:sz="12"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序号</w:t>
            </w:r>
          </w:p>
        </w:tc>
        <w:tc>
          <w:tcPr>
            <w:tcW w:w="2902" w:type="dxa"/>
            <w:tcBorders>
              <w:top w:val="single" w:color="auto" w:sz="12"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2</w:t>
            </w:r>
          </w:p>
        </w:tc>
        <w:tc>
          <w:tcPr>
            <w:tcW w:w="2903" w:type="dxa"/>
            <w:tcBorders>
              <w:top w:val="single" w:color="auto" w:sz="12" w:space="0"/>
              <w:left w:val="single" w:color="auto" w:sz="4" w:space="0"/>
              <w:bottom w:val="single" w:color="auto" w:sz="4" w:space="0"/>
              <w:right w:val="single" w:color="auto" w:sz="12"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kern w:val="21"/>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2" w:type="dxa"/>
            <w:tcBorders>
              <w:top w:val="single" w:color="auto" w:sz="4" w:space="0"/>
              <w:left w:val="single" w:color="auto" w:sz="12" w:space="0"/>
              <w:bottom w:val="single" w:color="auto" w:sz="4" w:space="0"/>
              <w:right w:val="single" w:color="auto" w:sz="4" w:space="0"/>
            </w:tcBorders>
            <w:noWrap w:val="0"/>
            <w:vAlign w:val="center"/>
          </w:tcPr>
          <w:p>
            <w:pPr>
              <w:widowControl/>
              <w:tabs>
                <w:tab w:val="left" w:pos="680"/>
              </w:tabs>
              <w:jc w:val="center"/>
              <w:rPr>
                <w:rFonts w:hint="eastAsia" w:ascii="宋体" w:hAnsi="宋体" w:cs="宋体"/>
                <w:color w:val="auto"/>
                <w:kern w:val="21"/>
                <w:sz w:val="24"/>
                <w:szCs w:val="24"/>
                <w:highlight w:val="none"/>
              </w:rPr>
            </w:pPr>
            <w:r>
              <w:rPr>
                <w:rFonts w:hint="eastAsia" w:ascii="宋体" w:hAnsi="宋体" w:cs="宋体"/>
                <w:color w:val="auto"/>
                <w:kern w:val="21"/>
                <w:sz w:val="24"/>
                <w:szCs w:val="24"/>
                <w:highlight w:val="none"/>
              </w:rPr>
              <w:t>现状</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default" w:ascii="Times New Roman" w:hAnsi="Times New Roman" w:cs="Times New Roman"/>
                <w:color w:val="auto"/>
                <w:sz w:val="24"/>
                <w:szCs w:val="24"/>
                <w:highlight w:val="none"/>
                <w:lang w:eastAsia="zh-CN"/>
              </w:rPr>
              <w:t>T接杜青线</w:t>
            </w:r>
          </w:p>
        </w:tc>
        <w:tc>
          <w:tcPr>
            <w:tcW w:w="2903" w:type="dxa"/>
            <w:tcBorders>
              <w:top w:val="single" w:color="auto" w:sz="4" w:space="0"/>
              <w:left w:val="single" w:color="auto" w:sz="4" w:space="0"/>
              <w:bottom w:val="single" w:color="auto" w:sz="4" w:space="0"/>
              <w:right w:val="single" w:color="auto" w:sz="12" w:space="0"/>
            </w:tcBorders>
            <w:noWrap w:val="0"/>
            <w:vAlign w:val="center"/>
          </w:tcPr>
          <w:p>
            <w:pPr>
              <w:widowControl/>
              <w:tabs>
                <w:tab w:val="left" w:pos="680"/>
              </w:tabs>
              <w:jc w:val="center"/>
              <w:rPr>
                <w:rFonts w:hint="default" w:ascii="Times New Roman" w:hAnsi="Times New Roman" w:cs="Times New Roman"/>
                <w:color w:val="auto"/>
                <w:kern w:val="21"/>
                <w:sz w:val="24"/>
                <w:szCs w:val="24"/>
                <w:highlight w:val="none"/>
              </w:rPr>
            </w:pPr>
            <w:r>
              <w:rPr>
                <w:rFonts w:hint="eastAsia" w:ascii="Times New Roman" w:hAnsi="Times New Roman" w:cs="Times New Roman"/>
                <w:color w:val="auto"/>
                <w:sz w:val="24"/>
                <w:szCs w:val="24"/>
                <w:highlight w:val="none"/>
                <w:lang w:val="en-US" w:eastAsia="zh-CN"/>
              </w:rPr>
              <w:t>香木变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902" w:type="dxa"/>
            <w:tcBorders>
              <w:top w:val="single" w:color="auto" w:sz="4" w:space="0"/>
              <w:left w:val="single" w:color="auto" w:sz="12" w:space="0"/>
              <w:bottom w:val="single" w:color="auto" w:sz="12" w:space="0"/>
              <w:right w:val="single" w:color="auto" w:sz="4" w:space="0"/>
            </w:tcBorders>
            <w:noWrap w:val="0"/>
            <w:vAlign w:val="center"/>
          </w:tcPr>
          <w:p>
            <w:pPr>
              <w:widowControl/>
              <w:tabs>
                <w:tab w:val="left" w:pos="680"/>
              </w:tabs>
              <w:jc w:val="center"/>
              <w:rPr>
                <w:rFonts w:hint="eastAsia" w:ascii="宋体" w:hAnsi="宋体" w:cs="宋体"/>
                <w:color w:val="auto"/>
                <w:kern w:val="21"/>
                <w:sz w:val="24"/>
                <w:szCs w:val="24"/>
                <w:highlight w:val="none"/>
              </w:rPr>
            </w:pPr>
            <w:r>
              <w:rPr>
                <w:rFonts w:hint="eastAsia" w:ascii="宋体" w:hAnsi="宋体" w:cs="宋体"/>
                <w:color w:val="auto"/>
                <w:kern w:val="21"/>
                <w:sz w:val="24"/>
                <w:szCs w:val="24"/>
                <w:highlight w:val="none"/>
              </w:rPr>
              <w:t>本期</w:t>
            </w:r>
            <w:r>
              <w:rPr>
                <w:rFonts w:hint="eastAsia" w:ascii="宋体" w:hAnsi="宋体" w:cs="宋体"/>
                <w:color w:val="auto"/>
                <w:sz w:val="24"/>
                <w:szCs w:val="24"/>
                <w:highlight w:val="none"/>
                <w:lang w:val="en-US" w:eastAsia="zh-CN"/>
              </w:rPr>
              <w:t>（校核）</w:t>
            </w:r>
          </w:p>
        </w:tc>
        <w:tc>
          <w:tcPr>
            <w:tcW w:w="2902" w:type="dxa"/>
            <w:tcBorders>
              <w:top w:val="single" w:color="auto" w:sz="4" w:space="0"/>
              <w:left w:val="single" w:color="auto" w:sz="4" w:space="0"/>
              <w:bottom w:val="single" w:color="auto" w:sz="12" w:space="0"/>
              <w:right w:val="single" w:color="auto" w:sz="4" w:space="0"/>
            </w:tcBorders>
            <w:noWrap w:val="0"/>
            <w:vAlign w:val="center"/>
          </w:tcPr>
          <w:p>
            <w:pPr>
              <w:widowControl/>
              <w:tabs>
                <w:tab w:val="left" w:pos="680"/>
              </w:tabs>
              <w:jc w:val="center"/>
              <w:rPr>
                <w:rFonts w:hint="eastAsia" w:ascii="宋体" w:hAnsi="宋体" w:cs="宋体"/>
                <w:color w:val="auto"/>
                <w:sz w:val="24"/>
                <w:szCs w:val="24"/>
                <w:highlight w:val="none"/>
              </w:rPr>
            </w:pPr>
            <w:r>
              <w:rPr>
                <w:rFonts w:hint="default" w:ascii="Times New Roman" w:hAnsi="Times New Roman" w:cs="Times New Roman"/>
                <w:color w:val="auto"/>
                <w:sz w:val="24"/>
                <w:szCs w:val="24"/>
                <w:highlight w:val="none"/>
                <w:lang w:eastAsia="zh-CN"/>
              </w:rPr>
              <w:t>T接杜青线</w:t>
            </w:r>
          </w:p>
        </w:tc>
        <w:tc>
          <w:tcPr>
            <w:tcW w:w="2903" w:type="dxa"/>
            <w:tcBorders>
              <w:top w:val="single" w:color="auto" w:sz="4" w:space="0"/>
              <w:left w:val="single" w:color="auto" w:sz="4" w:space="0"/>
              <w:bottom w:val="single" w:color="auto" w:sz="12" w:space="0"/>
              <w:right w:val="single" w:color="auto" w:sz="12" w:space="0"/>
            </w:tcBorders>
            <w:noWrap w:val="0"/>
            <w:vAlign w:val="center"/>
          </w:tcPr>
          <w:p>
            <w:pPr>
              <w:widowControl/>
              <w:tabs>
                <w:tab w:val="left" w:pos="680"/>
              </w:tabs>
              <w:jc w:val="center"/>
              <w:rPr>
                <w:rFonts w:hint="eastAsia" w:ascii="宋体" w:hAnsi="宋体" w:cs="宋体"/>
                <w:b/>
                <w:color w:val="auto"/>
                <w:sz w:val="24"/>
                <w:szCs w:val="24"/>
                <w:highlight w:val="none"/>
              </w:rPr>
            </w:pPr>
          </w:p>
        </w:tc>
      </w:tr>
    </w:tbl>
    <w:p>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9.2.1.3</w:t>
      </w:r>
      <w:r>
        <w:rPr>
          <w:rFonts w:hint="default" w:ascii="Times New Roman" w:hAnsi="Times New Roman" w:eastAsia="宋体" w:cs="Times New Roman"/>
          <w:color w:val="auto"/>
          <w:sz w:val="24"/>
          <w:szCs w:val="24"/>
          <w:highlight w:val="none"/>
          <w:lang w:val="zh-CN"/>
        </w:rPr>
        <w:t xml:space="preserve">  短路电流计算及主要设备选型校验</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（1）电气设备校验条件</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根据系统计算，安阳</w:t>
      </w:r>
      <w:r>
        <w:rPr>
          <w:rFonts w:hint="default" w:ascii="Times New Roman" w:hAnsi="Times New Roman" w:eastAsia="宋体" w:cs="Times New Roman"/>
          <w:color w:val="auto"/>
          <w:sz w:val="24"/>
          <w:szCs w:val="24"/>
          <w:highlight w:val="none"/>
          <w:lang w:val="en-US" w:eastAsia="zh-CN"/>
        </w:rPr>
        <w:t>110</w:t>
      </w:r>
      <w:r>
        <w:rPr>
          <w:rFonts w:hint="default" w:ascii="Times New Roman" w:hAnsi="Times New Roman" w:eastAsia="宋体" w:cs="Times New Roman"/>
          <w:color w:val="auto"/>
          <w:sz w:val="24"/>
          <w:szCs w:val="24"/>
          <w:highlight w:val="none"/>
          <w:lang w:val="zh-CN"/>
        </w:rPr>
        <w:t>kV</w:t>
      </w:r>
      <w:r>
        <w:rPr>
          <w:rFonts w:hint="default" w:ascii="Times New Roman" w:hAnsi="Times New Roman" w:eastAsia="宋体" w:cs="Times New Roman"/>
          <w:color w:val="auto"/>
          <w:sz w:val="24"/>
          <w:szCs w:val="24"/>
          <w:highlight w:val="none"/>
          <w:lang w:val="en-US" w:eastAsia="zh-CN"/>
        </w:rPr>
        <w:t>熙彩</w:t>
      </w:r>
      <w:r>
        <w:rPr>
          <w:rFonts w:hint="default" w:ascii="Times New Roman" w:hAnsi="Times New Roman" w:eastAsia="宋体" w:cs="Times New Roman"/>
          <w:color w:val="auto"/>
          <w:sz w:val="24"/>
          <w:szCs w:val="24"/>
          <w:highlight w:val="none"/>
          <w:lang w:val="zh-CN"/>
        </w:rPr>
        <w:t>变电站110kV母线</w:t>
      </w:r>
      <w:r>
        <w:rPr>
          <w:rFonts w:hint="default" w:ascii="Times New Roman" w:hAnsi="Times New Roman" w:eastAsia="宋体" w:cs="Times New Roman"/>
          <w:color w:val="auto"/>
          <w:sz w:val="24"/>
          <w:szCs w:val="24"/>
          <w:highlight w:val="none"/>
          <w:lang w:val="en-US" w:eastAsia="zh-CN"/>
        </w:rPr>
        <w:t>2021年及</w:t>
      </w:r>
      <w:r>
        <w:rPr>
          <w:rFonts w:hint="default" w:ascii="Times New Roman" w:hAnsi="Times New Roman" w:eastAsia="宋体" w:cs="Times New Roman"/>
          <w:color w:val="auto"/>
          <w:sz w:val="24"/>
          <w:szCs w:val="24"/>
          <w:highlight w:val="none"/>
          <w:lang w:val="zh-CN"/>
        </w:rPr>
        <w:t>远期系统三相短路电流</w:t>
      </w:r>
      <w:r>
        <w:rPr>
          <w:rFonts w:hint="default" w:ascii="Times New Roman" w:hAnsi="Times New Roman" w:eastAsia="宋体" w:cs="Times New Roman"/>
          <w:color w:val="auto"/>
          <w:sz w:val="24"/>
          <w:szCs w:val="24"/>
          <w:highlight w:val="none"/>
          <w:lang w:val="en-US" w:eastAsia="zh-CN"/>
        </w:rPr>
        <w:t>分别为10.41</w:t>
      </w:r>
      <w:r>
        <w:rPr>
          <w:rFonts w:hint="default" w:ascii="Times New Roman" w:hAnsi="Times New Roman" w:eastAsia="宋体" w:cs="Times New Roman"/>
          <w:color w:val="auto"/>
          <w:sz w:val="24"/>
          <w:szCs w:val="24"/>
          <w:highlight w:val="none"/>
          <w:lang w:val="zh-CN"/>
        </w:rPr>
        <w:t>kA、</w:t>
      </w:r>
      <w:r>
        <w:rPr>
          <w:rFonts w:hint="default" w:ascii="Times New Roman" w:hAnsi="Times New Roman" w:eastAsia="宋体" w:cs="Times New Roman"/>
          <w:color w:val="auto"/>
          <w:sz w:val="24"/>
          <w:szCs w:val="24"/>
          <w:highlight w:val="none"/>
          <w:lang w:val="en-US" w:eastAsia="zh-CN"/>
        </w:rPr>
        <w:t>13.18</w:t>
      </w:r>
      <w:r>
        <w:rPr>
          <w:rFonts w:hint="default" w:ascii="Times New Roman" w:hAnsi="Times New Roman" w:eastAsia="宋体" w:cs="Times New Roman"/>
          <w:color w:val="auto"/>
          <w:sz w:val="24"/>
          <w:szCs w:val="24"/>
          <w:highlight w:val="none"/>
          <w:lang w:val="zh-CN"/>
        </w:rPr>
        <w:t>kA</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rPr>
        <w:t>110kV母线</w:t>
      </w:r>
      <w:r>
        <w:rPr>
          <w:rFonts w:hint="default" w:ascii="Times New Roman" w:hAnsi="Times New Roman" w:eastAsia="宋体" w:cs="Times New Roman"/>
          <w:color w:val="auto"/>
          <w:sz w:val="24"/>
          <w:szCs w:val="24"/>
          <w:highlight w:val="none"/>
          <w:lang w:val="en-US" w:eastAsia="zh-CN"/>
        </w:rPr>
        <w:t>通流容量71.5MV</w:t>
      </w:r>
      <w:r>
        <w:rPr>
          <w:rFonts w:hint="default" w:ascii="Times New Roman" w:hAnsi="Times New Roman" w:eastAsia="宋体" w:cs="Times New Roman"/>
          <w:color w:val="auto"/>
          <w:sz w:val="24"/>
          <w:szCs w:val="24"/>
          <w:highlight w:val="none"/>
          <w:lang w:val="zh-CN"/>
        </w:rPr>
        <w:t>A。</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eastAsia="zh-CN"/>
        </w:rPr>
        <w:t>T接杜青线</w:t>
      </w:r>
      <w:r>
        <w:rPr>
          <w:rFonts w:hint="default" w:ascii="Times New Roman" w:hAnsi="Times New Roman" w:eastAsia="宋体" w:cs="Times New Roman"/>
          <w:color w:val="auto"/>
          <w:sz w:val="24"/>
          <w:szCs w:val="24"/>
          <w:highlight w:val="none"/>
          <w:lang w:val="zh-CN"/>
        </w:rPr>
        <w:t>110kV线路最大工作电流</w:t>
      </w:r>
      <w:r>
        <w:rPr>
          <w:rFonts w:hint="default" w:ascii="Times New Roman" w:hAnsi="Times New Roman" w:eastAsia="宋体" w:cs="Times New Roman"/>
          <w:color w:val="auto"/>
          <w:sz w:val="24"/>
          <w:szCs w:val="24"/>
          <w:highlight w:val="none"/>
          <w:lang w:val="en-US" w:eastAsia="zh-CN"/>
        </w:rPr>
        <w:t>375</w:t>
      </w:r>
      <w:r>
        <w:rPr>
          <w:rFonts w:hint="default" w:ascii="Times New Roman" w:hAnsi="Times New Roman" w:eastAsia="宋体" w:cs="Times New Roman"/>
          <w:color w:val="auto"/>
          <w:sz w:val="24"/>
          <w:szCs w:val="24"/>
          <w:highlight w:val="none"/>
          <w:lang w:val="zh-CN"/>
        </w:rPr>
        <w:t xml:space="preserve">A。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eastAsia="宋体" w:cs="Times New Roman"/>
          <w:color w:val="auto"/>
          <w:w w:val="100"/>
          <w:sz w:val="24"/>
          <w:szCs w:val="24"/>
          <w:highlight w:val="none"/>
          <w:lang w:val="zh-CN" w:eastAsia="zh-CN"/>
        </w:rPr>
      </w:pPr>
      <w:r>
        <w:rPr>
          <w:rFonts w:hint="default" w:ascii="Times New Roman" w:hAnsi="Times New Roman" w:eastAsia="宋体" w:cs="Times New Roman"/>
          <w:color w:val="auto"/>
          <w:w w:val="100"/>
          <w:sz w:val="24"/>
          <w:szCs w:val="24"/>
          <w:highlight w:val="none"/>
          <w:lang w:val="zh-CN" w:eastAsia="zh-CN"/>
        </w:rPr>
        <w:t>（2）接入间隔电气设备校验</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110</w:t>
      </w:r>
      <w:r>
        <w:rPr>
          <w:rFonts w:hint="default" w:ascii="Times New Roman" w:hAnsi="Times New Roman" w:eastAsia="宋体" w:cs="Times New Roman"/>
          <w:color w:val="auto"/>
          <w:sz w:val="24"/>
          <w:szCs w:val="24"/>
          <w:highlight w:val="none"/>
          <w:lang w:val="zh-CN"/>
        </w:rPr>
        <w:t>kV</w:t>
      </w:r>
      <w:r>
        <w:rPr>
          <w:rFonts w:hint="default" w:ascii="Times New Roman" w:hAnsi="Times New Roman" w:eastAsia="宋体" w:cs="Times New Roman"/>
          <w:color w:val="auto"/>
          <w:sz w:val="24"/>
          <w:szCs w:val="24"/>
          <w:highlight w:val="none"/>
          <w:lang w:val="en-US" w:eastAsia="zh-CN"/>
        </w:rPr>
        <w:t>熙彩</w:t>
      </w:r>
      <w:r>
        <w:rPr>
          <w:rFonts w:hint="default" w:ascii="Times New Roman" w:hAnsi="Times New Roman" w:eastAsia="宋体" w:cs="Times New Roman"/>
          <w:color w:val="auto"/>
          <w:sz w:val="24"/>
          <w:szCs w:val="24"/>
          <w:highlight w:val="none"/>
          <w:lang w:val="zh-CN"/>
        </w:rPr>
        <w:t>变110kV配电装置</w:t>
      </w:r>
      <w:r>
        <w:rPr>
          <w:rFonts w:hint="default" w:ascii="Times New Roman" w:hAnsi="Times New Roman" w:eastAsia="宋体" w:cs="Times New Roman"/>
          <w:color w:val="auto"/>
          <w:sz w:val="24"/>
          <w:szCs w:val="24"/>
          <w:highlight w:val="none"/>
          <w:lang w:val="en-US" w:eastAsia="zh-CN"/>
        </w:rPr>
        <w:t>采</w:t>
      </w:r>
      <w:r>
        <w:rPr>
          <w:rFonts w:hint="default" w:ascii="Times New Roman" w:hAnsi="Times New Roman" w:eastAsia="宋体" w:cs="Times New Roman"/>
          <w:color w:val="auto"/>
          <w:sz w:val="24"/>
          <w:szCs w:val="24"/>
          <w:highlight w:val="none"/>
          <w:lang w:val="zh-CN"/>
        </w:rPr>
        <w:t>用户</w:t>
      </w:r>
      <w:r>
        <w:rPr>
          <w:rFonts w:hint="default" w:ascii="Times New Roman" w:hAnsi="Times New Roman" w:eastAsia="宋体" w:cs="Times New Roman"/>
          <w:color w:val="auto"/>
          <w:sz w:val="24"/>
          <w:szCs w:val="24"/>
          <w:highlight w:val="none"/>
          <w:lang w:val="en-US" w:eastAsia="zh-CN"/>
        </w:rPr>
        <w:t>内GIS</w:t>
      </w:r>
      <w:r>
        <w:rPr>
          <w:rFonts w:hint="default" w:ascii="Times New Roman" w:hAnsi="Times New Roman" w:eastAsia="宋体" w:cs="Times New Roman"/>
          <w:color w:val="auto"/>
          <w:sz w:val="24"/>
          <w:szCs w:val="24"/>
          <w:highlight w:val="none"/>
          <w:lang w:val="zh-CN"/>
        </w:rPr>
        <w:t>设备，额定开断电流40kA。110kV</w:t>
      </w:r>
      <w:r>
        <w:rPr>
          <w:rFonts w:hint="default" w:ascii="Times New Roman" w:hAnsi="Times New Roman" w:eastAsia="宋体" w:cs="Times New Roman"/>
          <w:color w:val="auto"/>
          <w:sz w:val="24"/>
          <w:szCs w:val="24"/>
          <w:highlight w:val="none"/>
          <w:lang w:val="en-US" w:eastAsia="zh-CN"/>
        </w:rPr>
        <w:t>配电装置相关</w:t>
      </w:r>
      <w:r>
        <w:rPr>
          <w:rFonts w:hint="default" w:ascii="Times New Roman" w:hAnsi="Times New Roman" w:eastAsia="宋体" w:cs="Times New Roman"/>
          <w:color w:val="auto"/>
          <w:sz w:val="24"/>
          <w:szCs w:val="24"/>
          <w:highlight w:val="none"/>
          <w:lang w:val="zh-CN"/>
        </w:rPr>
        <w:t>设备参数表</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center"/>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 xml:space="preserve"> 表</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 xml:space="preserve">  110kV</w:t>
      </w:r>
      <w:r>
        <w:rPr>
          <w:rFonts w:hint="default" w:ascii="Times New Roman" w:hAnsi="Times New Roman" w:eastAsia="宋体" w:cs="Times New Roman"/>
          <w:color w:val="auto"/>
          <w:sz w:val="24"/>
          <w:szCs w:val="24"/>
          <w:highlight w:val="none"/>
          <w:lang w:val="en-US" w:eastAsia="zh-CN"/>
        </w:rPr>
        <w:t>配电装置相关</w:t>
      </w:r>
      <w:r>
        <w:rPr>
          <w:rFonts w:hint="default" w:ascii="Times New Roman" w:hAnsi="Times New Roman" w:eastAsia="宋体" w:cs="Times New Roman"/>
          <w:color w:val="auto"/>
          <w:sz w:val="24"/>
          <w:szCs w:val="24"/>
          <w:highlight w:val="none"/>
          <w:lang w:val="zh-CN"/>
        </w:rPr>
        <w:t>设备参数表</w:t>
      </w:r>
    </w:p>
    <w:tbl>
      <w:tblPr>
        <w:tblStyle w:val="50"/>
        <w:tblW w:w="10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60"/>
        <w:gridCol w:w="2806"/>
        <w:gridCol w:w="2818"/>
        <w:gridCol w:w="1404"/>
        <w:gridCol w:w="948"/>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0" w:type="dxa"/>
            <w:gridSpan w:val="2"/>
            <w:tcBorders>
              <w:top w:val="single" w:color="auto" w:sz="12"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主要</w:t>
            </w:r>
          </w:p>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设备</w:t>
            </w:r>
          </w:p>
        </w:tc>
        <w:tc>
          <w:tcPr>
            <w:tcW w:w="2806" w:type="dxa"/>
            <w:tcBorders>
              <w:top w:val="single" w:color="auto" w:sz="12"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主要参数</w:t>
            </w:r>
          </w:p>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p>
        </w:tc>
        <w:tc>
          <w:tcPr>
            <w:tcW w:w="2818" w:type="dxa"/>
            <w:tcBorders>
              <w:top w:val="single" w:color="auto" w:sz="12"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最大工作电流（A）</w:t>
            </w:r>
          </w:p>
        </w:tc>
        <w:tc>
          <w:tcPr>
            <w:tcW w:w="1404" w:type="dxa"/>
            <w:tcBorders>
              <w:top w:val="single" w:color="auto" w:sz="12"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短路电流（kA）</w:t>
            </w:r>
          </w:p>
        </w:tc>
        <w:tc>
          <w:tcPr>
            <w:tcW w:w="948" w:type="dxa"/>
            <w:tcBorders>
              <w:top w:val="single" w:color="auto" w:sz="12"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eastAsia="宋体" w:cs="Times New Roman"/>
                <w:color w:val="auto"/>
                <w:sz w:val="24"/>
                <w:szCs w:val="24"/>
                <w:highlight w:val="none"/>
                <w:lang w:val="en-US" w:eastAsia="zh-CN"/>
              </w:rPr>
              <w:t>厂家</w:t>
            </w:r>
          </w:p>
        </w:tc>
        <w:tc>
          <w:tcPr>
            <w:tcW w:w="726" w:type="dxa"/>
            <w:tcBorders>
              <w:top w:val="single" w:color="auto" w:sz="12" w:space="0"/>
              <w:left w:val="single" w:color="auto" w:sz="4" w:space="0"/>
              <w:bottom w:val="single" w:color="auto" w:sz="4" w:space="0"/>
              <w:right w:val="single" w:color="auto" w:sz="12"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restart"/>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GIS</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bidi="ar-SA"/>
              </w:rPr>
              <w:t>断路器</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2000A，40kA/3s，100kA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1#主进：220A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2#主进：174A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内桥：220A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T接杜青线间隔：375A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snapToGrid w:val="0"/>
                <w:color w:val="auto"/>
                <w:kern w:val="28"/>
                <w:sz w:val="24"/>
                <w:szCs w:val="24"/>
                <w:highlight w:val="none"/>
                <w:lang w:val="zh-CN"/>
              </w:rPr>
              <w:t>西安西电开关电气有限公司</w:t>
            </w: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隔离开关</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200</w:t>
            </w:r>
            <w:r>
              <w:rPr>
                <w:rFonts w:hint="default" w:ascii="Times New Roman" w:hAnsi="Times New Roman" w:cs="Times New Roman"/>
                <w:b w:val="0"/>
                <w:bCs w:val="0"/>
                <w:color w:val="auto"/>
                <w:sz w:val="24"/>
                <w:szCs w:val="24"/>
                <w:highlight w:val="none"/>
              </w:rPr>
              <w:t>0A，40kA/</w:t>
            </w: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s，100kA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1#主进：220A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2#主进：174A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内桥：220A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T接杜青线间隔：375A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接地开关</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40kA/4s，100kA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1#主进：220A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2#主进：174A</w:t>
            </w:r>
          </w:p>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内桥：220A</w:t>
            </w:r>
          </w:p>
          <w:p>
            <w:pPr>
              <w:adjustRightInd w:val="0"/>
              <w:snapToGrid w:val="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val="0"/>
                <w:bCs w:val="0"/>
                <w:color w:val="auto"/>
                <w:spacing w:val="0"/>
                <w:w w:val="100"/>
                <w:sz w:val="24"/>
                <w:szCs w:val="24"/>
                <w:highlight w:val="none"/>
                <w:lang w:val="en-US" w:eastAsia="zh-CN" w:bidi="ar-SA"/>
              </w:rPr>
              <w:t>T接杜青线间隔：375A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eastAsia="zh-CN" w:bidi="ar-SA"/>
              </w:rPr>
              <w:t>快速</w:t>
            </w:r>
            <w:r>
              <w:rPr>
                <w:rFonts w:hint="default" w:ascii="Times New Roman" w:hAnsi="Times New Roman" w:cs="Times New Roman"/>
                <w:b w:val="0"/>
                <w:bCs w:val="0"/>
                <w:color w:val="auto"/>
                <w:spacing w:val="0"/>
                <w:w w:val="100"/>
                <w:sz w:val="24"/>
                <w:szCs w:val="24"/>
                <w:highlight w:val="none"/>
                <w:lang w:bidi="ar-SA"/>
              </w:rPr>
              <w:t>接地开关</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40kA/4s，100kA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T接杜青线间隔：375A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bidi="ar-SA"/>
              </w:rPr>
              <w:t>电流互感器</w:t>
            </w:r>
            <w:r>
              <w:rPr>
                <w:rFonts w:hint="default" w:ascii="Times New Roman" w:hAnsi="Times New Roman" w:cs="Times New Roman"/>
                <w:b w:val="0"/>
                <w:bCs w:val="0"/>
                <w:color w:val="auto"/>
                <w:spacing w:val="0"/>
                <w:w w:val="100"/>
                <w:sz w:val="24"/>
                <w:szCs w:val="24"/>
                <w:highlight w:val="none"/>
                <w:lang w:eastAsia="zh-CN" w:bidi="ar-SA"/>
              </w:rPr>
              <w:t>（主进）</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1#主变进线：</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300/5A,5P10/5P10/0.2S</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容量：10/10/10VA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2#主变进线：</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200～400/5A，5P30/5P30/0.2S，</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容量：50/50/50VA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rPr>
              <w:t>1#主</w:t>
            </w:r>
            <w:r>
              <w:rPr>
                <w:rFonts w:hint="default" w:ascii="Times New Roman" w:hAnsi="Times New Roman" w:cs="Times New Roman"/>
                <w:b w:val="0"/>
                <w:bCs w:val="0"/>
                <w:color w:val="auto"/>
                <w:spacing w:val="0"/>
                <w:w w:val="100"/>
                <w:sz w:val="24"/>
                <w:szCs w:val="24"/>
                <w:highlight w:val="none"/>
                <w:lang w:val="en-US" w:eastAsia="zh-CN" w:bidi="ar-SA"/>
              </w:rPr>
              <w:t>进</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220A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2#主进：174A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电流互感器</w:t>
            </w:r>
            <w:r>
              <w:rPr>
                <w:rFonts w:hint="default" w:ascii="Times New Roman" w:hAnsi="Times New Roman" w:cs="Times New Roman"/>
                <w:b w:val="0"/>
                <w:bCs w:val="0"/>
                <w:color w:val="auto"/>
                <w:spacing w:val="0"/>
                <w:w w:val="100"/>
                <w:sz w:val="24"/>
                <w:szCs w:val="24"/>
                <w:highlight w:val="none"/>
                <w:lang w:eastAsia="zh-CN" w:bidi="ar-SA"/>
              </w:rPr>
              <w:t>（</w:t>
            </w:r>
            <w:r>
              <w:rPr>
                <w:rFonts w:hint="default" w:ascii="Times New Roman" w:hAnsi="Times New Roman" w:cs="Times New Roman"/>
                <w:b w:val="0"/>
                <w:bCs w:val="0"/>
                <w:color w:val="auto"/>
                <w:spacing w:val="0"/>
                <w:w w:val="100"/>
                <w:sz w:val="24"/>
                <w:szCs w:val="24"/>
                <w:highlight w:val="none"/>
                <w:lang w:val="en-US" w:eastAsia="zh-CN" w:bidi="ar-SA"/>
              </w:rPr>
              <w:t>内桥</w:t>
            </w:r>
            <w:r>
              <w:rPr>
                <w:rFonts w:hint="default" w:ascii="Times New Roman" w:hAnsi="Times New Roman" w:cs="Times New Roman"/>
                <w:b w:val="0"/>
                <w:bCs w:val="0"/>
                <w:color w:val="auto"/>
                <w:spacing w:val="0"/>
                <w:w w:val="100"/>
                <w:sz w:val="24"/>
                <w:szCs w:val="24"/>
                <w:highlight w:val="none"/>
                <w:lang w:eastAsia="zh-CN" w:bidi="ar-SA"/>
              </w:rPr>
              <w:t>间隔）</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800/5A，5P25/5P25/5P25</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5P25/5P25，容量：20/20/20/20/20VA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pacing w:val="0"/>
                <w:w w:val="100"/>
                <w:sz w:val="24"/>
                <w:szCs w:val="24"/>
                <w:highlight w:val="none"/>
                <w:lang w:val="en-US" w:eastAsia="zh-CN" w:bidi="ar-SA"/>
              </w:rPr>
              <w:t>220A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电流互感器</w:t>
            </w:r>
            <w:r>
              <w:rPr>
                <w:rFonts w:hint="default" w:ascii="Times New Roman" w:hAnsi="Times New Roman" w:cs="Times New Roman"/>
                <w:b w:val="0"/>
                <w:bCs w:val="0"/>
                <w:color w:val="auto"/>
                <w:spacing w:val="0"/>
                <w:w w:val="100"/>
                <w:sz w:val="24"/>
                <w:szCs w:val="24"/>
                <w:highlight w:val="none"/>
                <w:lang w:eastAsia="zh-CN" w:bidi="ar-SA"/>
              </w:rPr>
              <w:t>（出线）</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jc w:val="left"/>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T接杜青线：</w:t>
            </w:r>
            <w:r>
              <w:rPr>
                <w:rFonts w:hint="default" w:ascii="Times New Roman" w:hAnsi="Times New Roman" w:cs="Times New Roman"/>
                <w:snapToGrid w:val="0"/>
                <w:color w:val="auto"/>
                <w:kern w:val="28"/>
                <w:sz w:val="24"/>
                <w:szCs w:val="24"/>
                <w:highlight w:val="none"/>
              </w:rPr>
              <w:t>800/5A，5P25/5P25/5P25</w:t>
            </w:r>
            <w:r>
              <w:rPr>
                <w:rFonts w:hint="default" w:ascii="Times New Roman" w:hAnsi="Times New Roman" w:cs="Times New Roman"/>
                <w:snapToGrid w:val="0"/>
                <w:color w:val="auto"/>
                <w:kern w:val="28"/>
                <w:sz w:val="24"/>
                <w:szCs w:val="24"/>
                <w:highlight w:val="none"/>
                <w:lang w:val="en-US" w:eastAsia="zh-CN"/>
              </w:rPr>
              <w:t>/</w:t>
            </w:r>
            <w:r>
              <w:rPr>
                <w:rFonts w:hint="default" w:ascii="Times New Roman" w:hAnsi="Times New Roman" w:cs="Times New Roman"/>
                <w:snapToGrid w:val="0"/>
                <w:color w:val="auto"/>
                <w:kern w:val="28"/>
                <w:sz w:val="24"/>
                <w:szCs w:val="24"/>
                <w:highlight w:val="none"/>
              </w:rPr>
              <w:t>5P25/5P25，20/20/20/20/20VA</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T接杜青线：375A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电压互感器</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snapToGrid w:val="0"/>
                <w:color w:val="auto"/>
                <w:kern w:val="28"/>
                <w:sz w:val="24"/>
                <w:szCs w:val="24"/>
                <w:highlight w:val="none"/>
              </w:rPr>
            </w:pPr>
            <w:r>
              <w:rPr>
                <w:rFonts w:hint="default" w:ascii="Times New Roman" w:hAnsi="Times New Roman" w:cs="Times New Roman"/>
                <w:snapToGrid w:val="0"/>
                <w:color w:val="auto"/>
                <w:kern w:val="28"/>
                <w:sz w:val="24"/>
                <w:szCs w:val="24"/>
                <w:highlight w:val="none"/>
              </w:rPr>
              <w:t>(110/√3)/(0.1/√3)kV(0.1/√3)/0.1kV，0.2/0.5/3P,</w:t>
            </w:r>
          </w:p>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snapToGrid w:val="0"/>
                <w:color w:val="auto"/>
                <w:kern w:val="28"/>
                <w:sz w:val="24"/>
                <w:szCs w:val="24"/>
                <w:highlight w:val="none"/>
              </w:rPr>
              <w:t>100VA/100VA/100VA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dxa"/>
            <w:vMerge w:val="continue"/>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GIS母线</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2000A</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375A</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6"/>
                <w:w w:val="90"/>
                <w:kern w:val="2"/>
                <w:sz w:val="24"/>
                <w:szCs w:val="24"/>
                <w:highlight w:val="none"/>
                <w:lang w:val="en-US" w:eastAsia="zh-CN"/>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0" w:type="dxa"/>
            <w:gridSpan w:val="2"/>
            <w:tcBorders>
              <w:top w:val="single" w:color="auto" w:sz="4" w:space="0"/>
              <w:left w:val="single" w:color="auto" w:sz="12" w:space="0"/>
              <w:bottom w:val="single" w:color="auto" w:sz="4"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氧化锌避雷器</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snapToGrid w:val="0"/>
                <w:color w:val="auto"/>
                <w:kern w:val="28"/>
                <w:sz w:val="24"/>
                <w:szCs w:val="24"/>
                <w:highlight w:val="none"/>
              </w:rPr>
              <w:t>102/266kV</w:t>
            </w:r>
          </w:p>
        </w:tc>
        <w:tc>
          <w:tcPr>
            <w:tcW w:w="2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0" w:type="dxa"/>
            <w:gridSpan w:val="2"/>
            <w:tcBorders>
              <w:top w:val="single" w:color="auto" w:sz="4" w:space="0"/>
              <w:left w:val="single" w:color="auto" w:sz="12" w:space="0"/>
              <w:bottom w:val="single" w:color="auto" w:sz="12" w:space="0"/>
              <w:right w:val="single" w:color="auto" w:sz="4" w:space="0"/>
            </w:tcBorders>
            <w:noWrap w:val="0"/>
            <w:vAlign w:val="center"/>
          </w:tcPr>
          <w:p>
            <w:pPr>
              <w:topLinePunct w:val="0"/>
              <w:adjustRightInd w:val="0"/>
              <w:snapToGrid w:val="0"/>
              <w:spacing w:line="240" w:lineRule="auto"/>
              <w:ind w:firstLine="0" w:firstLineChars="0"/>
              <w:jc w:val="center"/>
              <w:rPr>
                <w:rFonts w:hint="default" w:ascii="Times New Roman" w:hAnsi="Times New Roman" w:cs="Times New Roman"/>
                <w:b w:val="0"/>
                <w:bCs w:val="0"/>
                <w:color w:val="auto"/>
                <w:spacing w:val="0"/>
                <w:w w:val="100"/>
                <w:sz w:val="24"/>
                <w:szCs w:val="24"/>
                <w:highlight w:val="none"/>
                <w:lang w:bidi="ar-SA"/>
              </w:rPr>
            </w:pPr>
            <w:r>
              <w:rPr>
                <w:rFonts w:hint="default" w:ascii="Times New Roman" w:hAnsi="Times New Roman" w:cs="Times New Roman"/>
                <w:b w:val="0"/>
                <w:bCs w:val="0"/>
                <w:color w:val="auto"/>
                <w:spacing w:val="0"/>
                <w:w w:val="100"/>
                <w:sz w:val="24"/>
                <w:szCs w:val="24"/>
                <w:highlight w:val="none"/>
                <w:lang w:bidi="ar-SA"/>
              </w:rPr>
              <w:t>间隔内导线</w:t>
            </w:r>
          </w:p>
        </w:tc>
        <w:tc>
          <w:tcPr>
            <w:tcW w:w="2806"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kern w:val="2"/>
                <w:position w:val="0"/>
                <w:sz w:val="24"/>
                <w:szCs w:val="24"/>
                <w:highlight w:val="none"/>
                <w:lang w:val="en-US" w:eastAsia="zh-CN" w:bidi="ar-SA"/>
              </w:rPr>
              <w:t>出线：LGJ-300/25</w:t>
            </w:r>
          </w:p>
        </w:tc>
        <w:tc>
          <w:tcPr>
            <w:tcW w:w="2818"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ind w:left="0" w:leftChars="0" w:firstLine="0" w:firstLineChars="0"/>
              <w:jc w:val="both"/>
              <w:rPr>
                <w:rFonts w:hint="default" w:ascii="Times New Roman" w:hAnsi="Times New Roman" w:cs="Times New Roman"/>
                <w:b w:val="0"/>
                <w:bCs w:val="0"/>
                <w:color w:val="auto"/>
                <w:spacing w:val="0"/>
                <w:w w:val="100"/>
                <w:sz w:val="24"/>
                <w:szCs w:val="24"/>
                <w:highlight w:val="none"/>
                <w:lang w:val="en-US" w:eastAsia="zh-CN" w:bidi="ar-SA"/>
              </w:rPr>
            </w:pPr>
            <w:r>
              <w:rPr>
                <w:rFonts w:hint="default" w:ascii="Times New Roman" w:hAnsi="Times New Roman" w:cs="Times New Roman"/>
                <w:b w:val="0"/>
                <w:bCs w:val="0"/>
                <w:color w:val="auto"/>
                <w:spacing w:val="0"/>
                <w:w w:val="100"/>
                <w:sz w:val="24"/>
                <w:szCs w:val="24"/>
                <w:highlight w:val="none"/>
                <w:lang w:val="en-US" w:eastAsia="zh-CN" w:bidi="ar-SA"/>
              </w:rPr>
              <w:t>T接杜青线：375A</w:t>
            </w:r>
          </w:p>
        </w:tc>
        <w:tc>
          <w:tcPr>
            <w:tcW w:w="1404"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pacing w:val="0"/>
                <w:w w:val="100"/>
                <w:sz w:val="24"/>
                <w:szCs w:val="24"/>
                <w:highlight w:val="none"/>
                <w:lang w:val="en-US" w:eastAsia="zh-CN" w:bidi="ar-SA"/>
              </w:rPr>
              <w:t>13.18</w:t>
            </w:r>
            <w:r>
              <w:rPr>
                <w:rFonts w:hint="default" w:ascii="Times New Roman" w:hAnsi="Times New Roman" w:cs="Times New Roman"/>
                <w:b w:val="0"/>
                <w:bCs w:val="0"/>
                <w:color w:val="auto"/>
                <w:spacing w:val="0"/>
                <w:w w:val="100"/>
                <w:sz w:val="24"/>
                <w:szCs w:val="24"/>
                <w:highlight w:val="none"/>
                <w:lang w:eastAsia="zh-CN" w:bidi="ar-SA"/>
              </w:rPr>
              <w:t>kA</w:t>
            </w:r>
          </w:p>
        </w:tc>
        <w:tc>
          <w:tcPr>
            <w:tcW w:w="948"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val="en-US" w:eastAsia="zh-CN" w:bidi="ar-SA"/>
              </w:rPr>
            </w:pPr>
          </w:p>
        </w:tc>
        <w:tc>
          <w:tcPr>
            <w:tcW w:w="726"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ind w:left="0" w:leftChars="0" w:firstLine="0" w:firstLineChars="0"/>
              <w:jc w:val="center"/>
              <w:rPr>
                <w:rFonts w:hint="default" w:ascii="Times New Roman" w:hAnsi="Times New Roman" w:cs="Times New Roman"/>
                <w:b w:val="0"/>
                <w:bCs w:val="0"/>
                <w:color w:val="auto"/>
                <w:spacing w:val="0"/>
                <w:w w:val="100"/>
                <w:sz w:val="24"/>
                <w:szCs w:val="24"/>
                <w:highlight w:val="none"/>
                <w:lang w:eastAsia="zh-CN" w:bidi="ar-SA"/>
              </w:rPr>
            </w:pPr>
            <w:r>
              <w:rPr>
                <w:rFonts w:hint="default" w:ascii="Times New Roman" w:hAnsi="Times New Roman" w:cs="Times New Roman"/>
                <w:b w:val="0"/>
                <w:bCs w:val="0"/>
                <w:color w:val="auto"/>
                <w:spacing w:val="0"/>
                <w:w w:val="100"/>
                <w:sz w:val="24"/>
                <w:szCs w:val="24"/>
                <w:highlight w:val="none"/>
                <w:lang w:eastAsia="zh-CN" w:bidi="ar-SA"/>
              </w:rPr>
              <w:t>满足</w:t>
            </w:r>
          </w:p>
        </w:tc>
      </w:tr>
    </w:tbl>
    <w:p>
      <w:pPr>
        <w:keepNext w:val="0"/>
        <w:keepLines w:val="0"/>
        <w:pageBreakBefore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经校验，变电站内电气一次设备满足本期接入要求，本期不新增和更换设备。</w:t>
      </w:r>
    </w:p>
    <w:p>
      <w:pPr>
        <w:keepNext w:val="0"/>
        <w:keepLines w:val="0"/>
        <w:pageBreakBefore w:val="0"/>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9.2.1.4 </w:t>
      </w:r>
      <w:r>
        <w:rPr>
          <w:rFonts w:hint="default" w:ascii="Times New Roman" w:hAnsi="Times New Roman" w:cs="Times New Roman"/>
          <w:snapToGrid w:val="0"/>
          <w:color w:val="auto"/>
          <w:kern w:val="28"/>
          <w:sz w:val="24"/>
          <w:szCs w:val="24"/>
          <w:highlight w:val="none"/>
        </w:rPr>
        <w:t>接地</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snapToGrid w:val="0"/>
          <w:color w:val="auto"/>
          <w:kern w:val="28"/>
          <w:sz w:val="24"/>
          <w:szCs w:val="24"/>
          <w:highlight w:val="none"/>
          <w:lang w:val="zh-CN"/>
        </w:rPr>
      </w:pPr>
      <w:r>
        <w:rPr>
          <w:rFonts w:hint="default" w:ascii="Times New Roman" w:hAnsi="Times New Roman" w:cs="Times New Roman"/>
          <w:snapToGrid w:val="0"/>
          <w:color w:val="auto"/>
          <w:kern w:val="28"/>
          <w:sz w:val="24"/>
          <w:szCs w:val="24"/>
          <w:highlight w:val="none"/>
          <w:lang w:val="zh-CN"/>
        </w:rPr>
        <w:t>全站接地选用</w:t>
      </w:r>
      <w:r>
        <w:rPr>
          <w:rFonts w:hint="default" w:ascii="Times New Roman" w:hAnsi="Times New Roman" w:cs="Times New Roman"/>
          <w:snapToGrid w:val="0"/>
          <w:color w:val="auto"/>
          <w:kern w:val="28"/>
          <w:sz w:val="24"/>
          <w:szCs w:val="24"/>
          <w:highlight w:val="none"/>
          <w:lang w:val="en-US" w:eastAsia="zh-CN"/>
        </w:rPr>
        <w:t>60</w:t>
      </w:r>
      <w:r>
        <w:rPr>
          <w:rFonts w:hint="default" w:ascii="Times New Roman" w:hAnsi="Times New Roman" w:cs="Times New Roman"/>
          <w:snapToGrid w:val="0"/>
          <w:color w:val="auto"/>
          <w:kern w:val="28"/>
          <w:sz w:val="24"/>
          <w:szCs w:val="24"/>
          <w:highlight w:val="none"/>
          <w:lang w:val="zh-CN"/>
        </w:rPr>
        <w:t>×8扁钢作水平接地主网，以50×5的角钢作接地极，</w:t>
      </w:r>
      <w:r>
        <w:rPr>
          <w:rFonts w:hint="default" w:ascii="Times New Roman" w:hAnsi="Times New Roman" w:cs="Times New Roman"/>
          <w:snapToGrid w:val="0"/>
          <w:color w:val="auto"/>
          <w:kern w:val="28"/>
          <w:sz w:val="24"/>
          <w:szCs w:val="24"/>
          <w:highlight w:val="none"/>
          <w:lang w:val="en-US" w:eastAsia="zh-CN"/>
        </w:rPr>
        <w:t>6</w:t>
      </w:r>
      <w:r>
        <w:rPr>
          <w:rFonts w:hint="default" w:ascii="Times New Roman" w:hAnsi="Times New Roman" w:cs="Times New Roman"/>
          <w:snapToGrid w:val="0"/>
          <w:color w:val="auto"/>
          <w:kern w:val="28"/>
          <w:sz w:val="24"/>
          <w:szCs w:val="24"/>
          <w:highlight w:val="none"/>
          <w:lang w:val="zh-CN"/>
        </w:rPr>
        <w:t>0×8扁钢作设备引下线。一期已按规划规模考虑，接地电阻、跨步电压及接触电势均满足要求。</w:t>
      </w:r>
      <w:bookmarkEnd w:id="307"/>
      <w:bookmarkEnd w:id="308"/>
    </w:p>
    <w:p>
      <w:pPr>
        <w:pStyle w:val="2"/>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9.2.2 电气二次</w:t>
      </w:r>
    </w:p>
    <w:p>
      <w:pPr>
        <w:keepNext w:val="0"/>
        <w:keepLines w:val="0"/>
        <w:pageBreakBefore w:val="0"/>
        <w:kinsoku/>
        <w:wordWrap/>
        <w:overflowPunct/>
        <w:topLinePunct w:val="0"/>
        <w:autoSpaceDE/>
        <w:autoSpaceDN/>
        <w:bidi w:val="0"/>
        <w:adjustRightInd w:val="0"/>
        <w:snapToGrid/>
        <w:spacing w:line="460" w:lineRule="exact"/>
        <w:jc w:val="left"/>
        <w:textAlignment w:val="auto"/>
        <w:rPr>
          <w:rFonts w:hint="default" w:ascii="Times New Roman" w:hAnsi="Times New Roman" w:cs="Times New Roman"/>
          <w:snapToGrid w:val="0"/>
          <w:color w:val="auto"/>
          <w:kern w:val="18"/>
          <w:sz w:val="24"/>
          <w:szCs w:val="24"/>
          <w:highlight w:val="none"/>
        </w:rPr>
      </w:pPr>
      <w:r>
        <w:rPr>
          <w:rFonts w:hint="default" w:ascii="Times New Roman" w:hAnsi="Times New Roman" w:eastAsia="宋体" w:cs="Times New Roman"/>
          <w:snapToGrid w:val="0"/>
          <w:color w:val="auto"/>
          <w:kern w:val="18"/>
          <w:sz w:val="24"/>
          <w:szCs w:val="24"/>
          <w:highlight w:val="none"/>
          <w:lang w:val="en-US" w:eastAsia="zh-CN"/>
        </w:rPr>
        <w:t>9.2.2.1现状</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该站为智能变电站，无人值班站，采用2017年</w:t>
      </w:r>
      <w:r>
        <w:rPr>
          <w:rFonts w:hint="default" w:ascii="Times New Roman" w:hAnsi="Times New Roman" w:cs="Times New Roman"/>
          <w:color w:val="auto"/>
          <w:sz w:val="24"/>
          <w:szCs w:val="24"/>
          <w:highlight w:val="none"/>
        </w:rPr>
        <w:t>国电南瑞科技</w:t>
      </w:r>
      <w:r>
        <w:rPr>
          <w:rFonts w:hint="default" w:ascii="Times New Roman" w:hAnsi="Times New Roman" w:cs="Times New Roman"/>
          <w:color w:val="auto"/>
          <w:sz w:val="24"/>
          <w:szCs w:val="24"/>
          <w:highlight w:val="none"/>
          <w:lang w:val="zh-CN"/>
        </w:rPr>
        <w:t>股份有限公司</w:t>
      </w:r>
      <w:r>
        <w:rPr>
          <w:rFonts w:hint="default" w:ascii="Times New Roman" w:hAnsi="Times New Roman" w:cs="Times New Roman"/>
          <w:color w:val="auto"/>
          <w:sz w:val="24"/>
          <w:szCs w:val="24"/>
          <w:highlight w:val="none"/>
        </w:rPr>
        <w:t>的计算机</w:t>
      </w:r>
      <w:r>
        <w:rPr>
          <w:rFonts w:hint="default" w:ascii="Times New Roman" w:hAnsi="Times New Roman" w:cs="Times New Roman"/>
          <w:color w:val="auto"/>
          <w:sz w:val="24"/>
          <w:szCs w:val="24"/>
          <w:highlight w:val="none"/>
          <w:lang w:val="zh-CN"/>
        </w:rPr>
        <w:t>监控方式；由220kV</w:t>
      </w:r>
      <w:r>
        <w:rPr>
          <w:rFonts w:hint="default" w:ascii="Times New Roman" w:hAnsi="Times New Roman" w:cs="Times New Roman"/>
          <w:color w:val="auto"/>
          <w:sz w:val="24"/>
          <w:szCs w:val="24"/>
          <w:highlight w:val="none"/>
        </w:rPr>
        <w:t>杜家</w:t>
      </w:r>
      <w:r>
        <w:rPr>
          <w:rFonts w:hint="default" w:ascii="Times New Roman" w:hAnsi="Times New Roman" w:cs="Times New Roman"/>
          <w:snapToGrid w:val="0"/>
          <w:color w:val="auto"/>
          <w:kern w:val="18"/>
          <w:sz w:val="24"/>
          <w:szCs w:val="24"/>
          <w:highlight w:val="none"/>
          <w:lang w:val="zh-CN"/>
        </w:rPr>
        <w:t>庵</w:t>
      </w:r>
      <w:r>
        <w:rPr>
          <w:rFonts w:hint="default" w:ascii="Times New Roman" w:hAnsi="Times New Roman" w:cs="Times New Roman"/>
          <w:color w:val="auto"/>
          <w:sz w:val="24"/>
          <w:szCs w:val="24"/>
          <w:highlight w:val="none"/>
          <w:lang w:val="zh-CN"/>
        </w:rPr>
        <w:t>变集控。</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napToGrid w:val="0"/>
          <w:color w:val="auto"/>
          <w:kern w:val="28"/>
          <w:sz w:val="24"/>
          <w:szCs w:val="24"/>
          <w:highlight w:val="none"/>
          <w:lang w:val="zh-CN" w:eastAsia="zh-CN"/>
        </w:rPr>
      </w:pPr>
      <w:r>
        <w:rPr>
          <w:rFonts w:hint="default" w:ascii="Times New Roman" w:hAnsi="Times New Roman" w:cs="Times New Roman"/>
          <w:snapToGrid w:val="0"/>
          <w:color w:val="auto"/>
          <w:kern w:val="28"/>
          <w:sz w:val="24"/>
          <w:szCs w:val="24"/>
          <w:highlight w:val="none"/>
          <w:lang w:val="zh-CN" w:eastAsia="zh-CN"/>
        </w:rPr>
        <w:t>杜香间隔采用2019年国电南瑞的NSR-304A光差保护装置，香彩间隔采用2019年国电南瑞的NSR-304DA-G光差保护装置。</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kern w:val="2"/>
          <w:sz w:val="24"/>
          <w:szCs w:val="24"/>
          <w:highlight w:val="none"/>
          <w:lang w:val="zh-CN" w:eastAsia="zh-CN"/>
        </w:rPr>
      </w:pPr>
      <w:r>
        <w:rPr>
          <w:rFonts w:hint="default" w:ascii="Times New Roman" w:hAnsi="Times New Roman" w:cs="Times New Roman"/>
          <w:color w:val="auto"/>
          <w:kern w:val="2"/>
          <w:sz w:val="24"/>
          <w:szCs w:val="24"/>
          <w:highlight w:val="none"/>
          <w:lang w:val="zh-CN" w:eastAsia="zh-CN"/>
        </w:rPr>
        <w:t>该站配置1套2017年国电南瑞科技股份有限公司的网络记录分析装置。</w:t>
      </w:r>
    </w:p>
    <w:p>
      <w:pPr>
        <w:pStyle w:val="2"/>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kern w:val="2"/>
          <w:sz w:val="24"/>
          <w:szCs w:val="24"/>
          <w:highlight w:val="none"/>
          <w:lang w:val="zh-CN" w:eastAsia="zh-CN"/>
        </w:rPr>
        <w:t>设备状态运行状态良好。</w:t>
      </w:r>
    </w:p>
    <w:p>
      <w:pPr>
        <w:pStyle w:val="2"/>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cs="Times New Roman"/>
          <w:snapToGrid w:val="0"/>
          <w:color w:val="auto"/>
          <w:kern w:val="18"/>
          <w:sz w:val="24"/>
          <w:szCs w:val="24"/>
          <w:highlight w:val="none"/>
          <w:lang w:val="en-US" w:eastAsia="zh-CN"/>
        </w:rPr>
        <w:t>9</w:t>
      </w:r>
      <w:r>
        <w:rPr>
          <w:rFonts w:hint="default" w:ascii="Times New Roman" w:hAnsi="Times New Roman" w:cs="Times New Roman"/>
          <w:snapToGrid w:val="0"/>
          <w:color w:val="auto"/>
          <w:kern w:val="18"/>
          <w:sz w:val="24"/>
          <w:szCs w:val="24"/>
          <w:highlight w:val="none"/>
        </w:rPr>
        <w:t>.</w:t>
      </w:r>
      <w:r>
        <w:rPr>
          <w:rFonts w:hint="default" w:ascii="Times New Roman" w:hAnsi="Times New Roman" w:cs="Times New Roman"/>
          <w:snapToGrid w:val="0"/>
          <w:color w:val="auto"/>
          <w:kern w:val="18"/>
          <w:sz w:val="24"/>
          <w:szCs w:val="24"/>
          <w:highlight w:val="none"/>
          <w:lang w:eastAsia="zh-CN"/>
        </w:rPr>
        <w:t>2</w:t>
      </w:r>
      <w:r>
        <w:rPr>
          <w:rFonts w:hint="default" w:ascii="Times New Roman" w:hAnsi="Times New Roman" w:cs="Times New Roman"/>
          <w:snapToGrid w:val="0"/>
          <w:color w:val="auto"/>
          <w:kern w:val="18"/>
          <w:sz w:val="24"/>
          <w:szCs w:val="24"/>
          <w:highlight w:val="none"/>
        </w:rPr>
        <w:t>.2.2本期工程</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rPr>
        <w:t>本期</w:t>
      </w:r>
      <w:r>
        <w:rPr>
          <w:rFonts w:hint="default" w:ascii="Times New Roman" w:hAnsi="Times New Roman" w:cs="Times New Roman"/>
          <w:color w:val="auto"/>
          <w:kern w:val="0"/>
          <w:sz w:val="24"/>
          <w:szCs w:val="24"/>
          <w:highlight w:val="none"/>
          <w:lang w:eastAsia="zh-CN"/>
        </w:rPr>
        <w:t>仅调试</w:t>
      </w:r>
      <w:r>
        <w:rPr>
          <w:rFonts w:hint="default" w:ascii="Times New Roman" w:hAnsi="Times New Roman" w:cs="Times New Roman"/>
          <w:snapToGrid w:val="0"/>
          <w:color w:val="auto"/>
          <w:kern w:val="28"/>
          <w:sz w:val="24"/>
          <w:szCs w:val="24"/>
          <w:highlight w:val="none"/>
        </w:rPr>
        <w:t>杜</w:t>
      </w:r>
      <w:r>
        <w:rPr>
          <w:rFonts w:hint="default" w:ascii="Times New Roman" w:hAnsi="Times New Roman" w:cs="Times New Roman"/>
          <w:snapToGrid w:val="0"/>
          <w:color w:val="auto"/>
          <w:kern w:val="28"/>
          <w:sz w:val="24"/>
          <w:szCs w:val="24"/>
          <w:highlight w:val="none"/>
          <w:lang w:val="en-US" w:eastAsia="zh-CN"/>
        </w:rPr>
        <w:t>青</w:t>
      </w:r>
      <w:r>
        <w:rPr>
          <w:rFonts w:hint="default" w:ascii="Times New Roman" w:hAnsi="Times New Roman" w:cs="Times New Roman"/>
          <w:snapToGrid w:val="0"/>
          <w:color w:val="auto"/>
          <w:kern w:val="28"/>
          <w:sz w:val="24"/>
          <w:szCs w:val="24"/>
          <w:highlight w:val="none"/>
        </w:rPr>
        <w:t>线</w:t>
      </w:r>
      <w:r>
        <w:rPr>
          <w:rFonts w:hint="default" w:ascii="Times New Roman" w:hAnsi="Times New Roman" w:cs="Times New Roman"/>
          <w:snapToGrid w:val="0"/>
          <w:color w:val="auto"/>
          <w:kern w:val="28"/>
          <w:sz w:val="24"/>
          <w:szCs w:val="24"/>
          <w:highlight w:val="none"/>
          <w:lang w:eastAsia="zh-CN"/>
        </w:rPr>
        <w:t>T接熙彩</w:t>
      </w:r>
      <w:r>
        <w:rPr>
          <w:rFonts w:hint="default" w:ascii="Times New Roman" w:hAnsi="Times New Roman" w:cs="Times New Roman"/>
          <w:color w:val="auto"/>
          <w:kern w:val="0"/>
          <w:sz w:val="24"/>
          <w:szCs w:val="24"/>
          <w:highlight w:val="none"/>
          <w:lang w:eastAsia="zh-CN"/>
        </w:rPr>
        <w:t>间隔保护装置。</w:t>
      </w:r>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 xml:space="preserve">9.2.3 调度自动化 </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本期无工作量。</w:t>
      </w:r>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 xml:space="preserve">9.2.4 通信 </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本期无工作量。</w:t>
      </w:r>
    </w:p>
    <w:p>
      <w:pPr>
        <w:keepNext w:val="0"/>
        <w:keepLines w:val="0"/>
        <w:pageBreakBefore w:val="0"/>
        <w:kinsoku/>
        <w:wordWrap/>
        <w:overflowPunct/>
        <w:topLinePunct w:val="0"/>
        <w:bidi w:val="0"/>
        <w:snapToGrid/>
        <w:spacing w:line="460" w:lineRule="exact"/>
        <w:jc w:val="left"/>
        <w:outlineLvl w:val="9"/>
        <w:rPr>
          <w:rFonts w:hint="default" w:ascii="Times New Roman" w:hAnsi="Times New Roman" w:eastAsia="宋体" w:cs="Times New Roman"/>
          <w:snapToGrid w:val="0"/>
          <w:color w:val="auto"/>
          <w:kern w:val="18"/>
          <w:sz w:val="24"/>
          <w:szCs w:val="24"/>
          <w:highlight w:val="none"/>
          <w:lang w:val="en-US" w:eastAsia="zh-CN"/>
        </w:rPr>
      </w:pPr>
      <w:r>
        <w:rPr>
          <w:rFonts w:hint="default" w:ascii="Times New Roman" w:hAnsi="Times New Roman" w:eastAsia="宋体" w:cs="Times New Roman"/>
          <w:snapToGrid w:val="0"/>
          <w:color w:val="auto"/>
          <w:kern w:val="18"/>
          <w:sz w:val="24"/>
          <w:szCs w:val="24"/>
          <w:highlight w:val="none"/>
          <w:lang w:val="en-US" w:eastAsia="zh-CN"/>
        </w:rPr>
        <w:t xml:space="preserve">9.2.5 土建 </w:t>
      </w:r>
    </w:p>
    <w:p>
      <w:pPr>
        <w:keepNext w:val="0"/>
        <w:keepLines w:val="0"/>
        <w:pageBreakBefore w:val="0"/>
        <w:widowControl/>
        <w:kinsoku/>
        <w:wordWrap/>
        <w:overflowPunct/>
        <w:topLinePunct w:val="0"/>
        <w:autoSpaceDE/>
        <w:autoSpaceDN/>
        <w:bidi w:val="0"/>
        <w:adjustRightInd w:val="0"/>
        <w:snapToGrid/>
        <w:spacing w:line="460" w:lineRule="exact"/>
        <w:ind w:firstLine="384" w:firstLineChars="16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本期无工作量。</w:t>
      </w:r>
      <w:bookmarkEnd w:id="300"/>
      <w:bookmarkEnd w:id="301"/>
    </w:p>
    <w:p>
      <w:pPr>
        <w:keepNext w:val="0"/>
        <w:keepLines w:val="0"/>
        <w:pageBreakBefore w:val="0"/>
        <w:widowControl/>
        <w:tabs>
          <w:tab w:val="left" w:pos="432"/>
          <w:tab w:val="left" w:pos="4480"/>
        </w:tabs>
        <w:kinsoku/>
        <w:wordWrap/>
        <w:overflowPunct/>
        <w:topLinePunct w:val="0"/>
        <w:autoSpaceDE/>
        <w:autoSpaceDN/>
        <w:bidi w:val="0"/>
        <w:adjustRightInd w:val="0"/>
        <w:snapToGrid w:val="0"/>
        <w:spacing w:before="0" w:beforeLines="0" w:beforeAutospacing="0" w:after="0" w:afterLines="0" w:afterAutospacing="0" w:line="460" w:lineRule="exact"/>
        <w:ind w:right="0"/>
        <w:jc w:val="both"/>
        <w:textAlignment w:val="auto"/>
        <w:outlineLvl w:val="0"/>
        <w:rPr>
          <w:rFonts w:hint="default" w:ascii="Times New Roman" w:hAnsi="Times New Roman" w:eastAsia="宋体" w:cs="Times New Roman"/>
          <w:b/>
          <w:color w:val="auto"/>
          <w:kern w:val="21"/>
          <w:sz w:val="24"/>
          <w:szCs w:val="24"/>
          <w:highlight w:val="none"/>
          <w:lang w:val="en-US" w:eastAsia="zh-CN"/>
        </w:rPr>
      </w:pPr>
      <w:bookmarkStart w:id="310" w:name="_Toc358881633"/>
      <w:bookmarkStart w:id="311" w:name="_Toc386219119"/>
      <w:bookmarkStart w:id="312" w:name="_Toc389719179"/>
      <w:bookmarkStart w:id="313" w:name="_Toc387169446"/>
      <w:bookmarkStart w:id="314" w:name="_Toc386560762"/>
      <w:bookmarkStart w:id="315" w:name="_Toc389217079"/>
      <w:bookmarkStart w:id="316" w:name="_Toc390064076"/>
      <w:bookmarkStart w:id="317" w:name="_Toc390063955"/>
      <w:bookmarkStart w:id="318" w:name="_Toc386988061"/>
      <w:r>
        <w:rPr>
          <w:rFonts w:hint="default" w:ascii="Times New Roman" w:hAnsi="Times New Roman" w:eastAsia="宋体" w:cs="Times New Roman"/>
          <w:b/>
          <w:color w:val="auto"/>
          <w:kern w:val="21"/>
          <w:sz w:val="24"/>
          <w:szCs w:val="24"/>
          <w:highlight w:val="none"/>
          <w:lang w:val="en-US" w:eastAsia="zh-CN"/>
        </w:rPr>
        <w:t>二</w:t>
      </w:r>
      <w:bookmarkEnd w:id="310"/>
      <w:bookmarkEnd w:id="311"/>
      <w:bookmarkStart w:id="319" w:name="_Toc386219120"/>
      <w:bookmarkStart w:id="320" w:name="_Toc358881634"/>
      <w:r>
        <w:rPr>
          <w:rFonts w:hint="default" w:ascii="Times New Roman" w:hAnsi="Times New Roman" w:eastAsia="宋体" w:cs="Times New Roman"/>
          <w:b/>
          <w:color w:val="auto"/>
          <w:kern w:val="21"/>
          <w:sz w:val="24"/>
          <w:szCs w:val="24"/>
          <w:highlight w:val="none"/>
          <w:lang w:val="en-US" w:eastAsia="zh-CN"/>
        </w:rPr>
        <w:t>、招标人提供的文件</w:t>
      </w:r>
      <w:bookmarkEnd w:id="312"/>
      <w:bookmarkEnd w:id="313"/>
      <w:bookmarkEnd w:id="314"/>
      <w:bookmarkEnd w:id="315"/>
      <w:bookmarkEnd w:id="316"/>
      <w:bookmarkEnd w:id="317"/>
      <w:bookmarkEnd w:id="318"/>
      <w:bookmarkEnd w:id="319"/>
      <w:bookmarkEnd w:id="320"/>
      <w:r>
        <w:rPr>
          <w:rFonts w:hint="default" w:ascii="Times New Roman" w:hAnsi="Times New Roman" w:eastAsia="宋体" w:cs="Times New Roman"/>
          <w:b/>
          <w:color w:val="auto"/>
          <w:kern w:val="21"/>
          <w:sz w:val="24"/>
          <w:szCs w:val="24"/>
          <w:highlight w:val="none"/>
          <w:lang w:val="en-US" w:eastAsia="zh-CN"/>
        </w:rPr>
        <w:t>和图纸</w:t>
      </w:r>
    </w:p>
    <w:p>
      <w:pPr>
        <w:widowControl/>
        <w:snapToGrid w:val="0"/>
        <w:spacing w:line="360" w:lineRule="exact"/>
        <w:jc w:val="left"/>
        <w:rPr>
          <w:rFonts w:hint="default" w:ascii="Times New Roman" w:hAnsi="Times New Roman" w:eastAsia="宋体" w:cs="Times New Roman"/>
          <w:b/>
          <w:color w:val="auto"/>
          <w:kern w:val="21"/>
          <w:sz w:val="24"/>
          <w:szCs w:val="24"/>
          <w:highlight w:val="none"/>
          <w:lang w:val="en-US" w:eastAsia="zh-CN"/>
        </w:rPr>
      </w:pPr>
      <w:r>
        <w:rPr>
          <w:rFonts w:hint="default" w:ascii="Times New Roman" w:hAnsi="Times New Roman" w:eastAsia="宋体" w:cs="Times New Roman"/>
          <w:b/>
          <w:color w:val="auto"/>
          <w:kern w:val="21"/>
          <w:sz w:val="24"/>
          <w:szCs w:val="24"/>
          <w:highlight w:val="none"/>
          <w:lang w:val="en-US" w:eastAsia="zh-CN"/>
        </w:rPr>
        <w:t>1.变电部分</w:t>
      </w:r>
    </w:p>
    <w:tbl>
      <w:tblPr>
        <w:tblStyle w:val="50"/>
        <w:tblW w:w="7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079"/>
        <w:gridCol w:w="141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top"/>
          </w:tcPr>
          <w:p>
            <w:pPr>
              <w:spacing w:line="360" w:lineRule="auto"/>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编号</w:t>
            </w:r>
          </w:p>
        </w:tc>
        <w:tc>
          <w:tcPr>
            <w:tcW w:w="3079" w:type="dxa"/>
            <w:noWrap w:val="0"/>
            <w:vAlign w:val="top"/>
          </w:tcPr>
          <w:p>
            <w:pPr>
              <w:spacing w:line="360" w:lineRule="auto"/>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图纸/资料名称</w:t>
            </w:r>
          </w:p>
        </w:tc>
        <w:tc>
          <w:tcPr>
            <w:tcW w:w="1417" w:type="dxa"/>
            <w:noWrap w:val="0"/>
            <w:vAlign w:val="top"/>
          </w:tcPr>
          <w:p>
            <w:pPr>
              <w:spacing w:line="360" w:lineRule="auto"/>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格式</w:t>
            </w:r>
          </w:p>
        </w:tc>
        <w:tc>
          <w:tcPr>
            <w:tcW w:w="2035" w:type="dxa"/>
            <w:noWrap w:val="0"/>
            <w:vAlign w:val="top"/>
          </w:tcPr>
          <w:p>
            <w:pPr>
              <w:spacing w:line="360" w:lineRule="auto"/>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center"/>
          </w:tcPr>
          <w:p>
            <w:pPr>
              <w:spacing w:line="360" w:lineRule="auto"/>
              <w:rPr>
                <w:rFonts w:hint="eastAsia"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附件</w:t>
            </w:r>
            <w:r>
              <w:rPr>
                <w:rFonts w:hint="eastAsia" w:cs="Times New Roman"/>
                <w:sz w:val="24"/>
                <w:szCs w:val="24"/>
                <w:highlight w:val="none"/>
                <w:lang w:eastAsia="zh-CN"/>
              </w:rPr>
              <w:t>二</w:t>
            </w:r>
          </w:p>
        </w:tc>
        <w:tc>
          <w:tcPr>
            <w:tcW w:w="3079" w:type="dxa"/>
            <w:noWrap w:val="0"/>
            <w:vAlign w:val="center"/>
          </w:tcPr>
          <w:p>
            <w:pPr>
              <w:spacing w:line="360" w:lineRule="auto"/>
              <w:rPr>
                <w:rFonts w:hint="eastAsia"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rPr>
              <w:t>初步设计</w:t>
            </w:r>
            <w:r>
              <w:rPr>
                <w:rFonts w:hint="eastAsia" w:cs="Times New Roman"/>
                <w:sz w:val="24"/>
                <w:szCs w:val="24"/>
                <w:highlight w:val="none"/>
                <w:lang w:eastAsia="zh-CN"/>
              </w:rPr>
              <w:t>配件明细</w:t>
            </w:r>
          </w:p>
        </w:tc>
        <w:tc>
          <w:tcPr>
            <w:tcW w:w="1417" w:type="dxa"/>
            <w:noWrap w:val="0"/>
            <w:vAlign w:val="center"/>
          </w:tcPr>
          <w:p>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PDF</w:t>
            </w:r>
          </w:p>
        </w:tc>
        <w:tc>
          <w:tcPr>
            <w:tcW w:w="2035" w:type="dxa"/>
            <w:noWrap w:val="0"/>
            <w:vAlign w:val="center"/>
          </w:tcPr>
          <w:p>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center"/>
          </w:tcPr>
          <w:p>
            <w:pPr>
              <w:spacing w:line="360" w:lineRule="auto"/>
              <w:rPr>
                <w:rFonts w:hint="eastAsia"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附件</w:t>
            </w:r>
            <w:r>
              <w:rPr>
                <w:rFonts w:hint="eastAsia" w:cs="Times New Roman"/>
                <w:sz w:val="24"/>
                <w:szCs w:val="24"/>
                <w:highlight w:val="none"/>
                <w:lang w:eastAsia="zh-CN"/>
              </w:rPr>
              <w:t>三</w:t>
            </w:r>
          </w:p>
        </w:tc>
        <w:tc>
          <w:tcPr>
            <w:tcW w:w="3079" w:type="dxa"/>
            <w:noWrap w:val="0"/>
            <w:vAlign w:val="center"/>
          </w:tcPr>
          <w:p>
            <w:pPr>
              <w:spacing w:line="360" w:lineRule="auto"/>
              <w:rPr>
                <w:rFonts w:hint="default" w:ascii="Times New Roman" w:hAnsi="Times New Roman" w:eastAsia="宋体" w:cs="Times New Roman"/>
                <w:sz w:val="24"/>
                <w:szCs w:val="24"/>
                <w:highlight w:val="none"/>
                <w:lang w:eastAsia="zh-CN"/>
              </w:rPr>
            </w:pPr>
            <w:r>
              <w:rPr>
                <w:rFonts w:hint="eastAsia" w:cs="Times New Roman"/>
                <w:sz w:val="24"/>
                <w:szCs w:val="24"/>
                <w:highlight w:val="none"/>
                <w:lang w:val="en-US" w:eastAsia="zh-CN"/>
              </w:rPr>
              <w:t>施工全部</w:t>
            </w:r>
            <w:r>
              <w:rPr>
                <w:rFonts w:hint="default" w:ascii="Times New Roman" w:hAnsi="Times New Roman" w:cs="Times New Roman"/>
                <w:sz w:val="24"/>
                <w:szCs w:val="24"/>
                <w:highlight w:val="none"/>
                <w:lang w:val="en-US" w:eastAsia="zh-CN"/>
              </w:rPr>
              <w:t>图纸</w:t>
            </w:r>
          </w:p>
        </w:tc>
        <w:tc>
          <w:tcPr>
            <w:tcW w:w="1417" w:type="dxa"/>
            <w:noWrap w:val="0"/>
            <w:vAlign w:val="center"/>
          </w:tcPr>
          <w:p>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PDF</w:t>
            </w:r>
          </w:p>
        </w:tc>
        <w:tc>
          <w:tcPr>
            <w:tcW w:w="2035" w:type="dxa"/>
            <w:noWrap w:val="0"/>
            <w:vAlign w:val="center"/>
          </w:tcPr>
          <w:p>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见附件</w:t>
            </w:r>
          </w:p>
        </w:tc>
      </w:tr>
      <w:bookmarkEnd w:id="60"/>
      <w:bookmarkEnd w:id="61"/>
    </w:tbl>
    <w:p>
      <w:pPr>
        <w:widowControl/>
        <w:snapToGrid w:val="0"/>
        <w:spacing w:line="360" w:lineRule="exact"/>
        <w:jc w:val="lef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附件二：</w:t>
      </w:r>
    </w:p>
    <w:sectPr>
      <w:headerReference r:id="rId5" w:type="default"/>
      <w:footerReference r:id="rId6" w:type="default"/>
      <w:pgSz w:w="11907" w:h="16840"/>
      <w:pgMar w:top="1418" w:right="1588" w:bottom="1418"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lang w:val="zh-CN"/>
      </w:rPr>
      <w:fldChar w:fldCharType="begin"/>
    </w:r>
    <w:r>
      <w:rPr>
        <w:lang w:val="zh-CN"/>
      </w:rPr>
      <w:instrText xml:space="preserve"> PAGE   \* MERGEFORMAT </w:instrText>
    </w:r>
    <w:r>
      <w:rPr>
        <w:lang w:val="zh-CN"/>
      </w:rPr>
      <w:fldChar w:fldCharType="separate"/>
    </w:r>
    <w:r>
      <w:rPr>
        <w:lang w:val="zh-CN"/>
      </w:rPr>
      <w:t>71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AD8C2"/>
    <w:multiLevelType w:val="singleLevel"/>
    <w:tmpl w:val="AEFAD8C2"/>
    <w:lvl w:ilvl="0" w:tentative="0">
      <w:start w:val="1"/>
      <w:numFmt w:val="lowerLetter"/>
      <w:lvlText w:val="%1."/>
      <w:lvlJc w:val="left"/>
      <w:pPr>
        <w:tabs>
          <w:tab w:val="left" w:pos="312"/>
        </w:tabs>
      </w:pPr>
    </w:lvl>
  </w:abstractNum>
  <w:abstractNum w:abstractNumId="1">
    <w:nsid w:val="F4DEF7D2"/>
    <w:multiLevelType w:val="singleLevel"/>
    <w:tmpl w:val="F4DEF7D2"/>
    <w:lvl w:ilvl="0" w:tentative="0">
      <w:start w:val="2"/>
      <w:numFmt w:val="decimal"/>
      <w:suff w:val="space"/>
      <w:lvlText w:val="%1."/>
      <w:lvlJc w:val="left"/>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0000000C"/>
    <w:multiLevelType w:val="singleLevel"/>
    <w:tmpl w:val="0000000C"/>
    <w:lvl w:ilvl="0" w:tentative="0">
      <w:start w:val="1"/>
      <w:numFmt w:val="decimal"/>
      <w:suff w:val="nothing"/>
      <w:lvlText w:val="（%1）"/>
      <w:lvlJc w:val="left"/>
    </w:lvl>
  </w:abstractNum>
  <w:abstractNum w:abstractNumId="4">
    <w:nsid w:val="23D85711"/>
    <w:multiLevelType w:val="multilevel"/>
    <w:tmpl w:val="23D85711"/>
    <w:lvl w:ilvl="0" w:tentative="0">
      <w:start w:val="1"/>
      <w:numFmt w:val="decimal"/>
      <w:lvlText w:val="%1"/>
      <w:lvlJc w:val="left"/>
      <w:pPr>
        <w:tabs>
          <w:tab w:val="left" w:pos="425"/>
        </w:tabs>
        <w:ind w:left="425" w:hanging="425"/>
      </w:pPr>
    </w:lvl>
    <w:lvl w:ilvl="1" w:tentative="0">
      <w:start w:val="1"/>
      <w:numFmt w:val="decimal"/>
      <w:pStyle w:val="149"/>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5">
    <w:nsid w:val="295E2C95"/>
    <w:multiLevelType w:val="multilevel"/>
    <w:tmpl w:val="295E2C95"/>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6">
    <w:nsid w:val="33656822"/>
    <w:multiLevelType w:val="multilevel"/>
    <w:tmpl w:val="33656822"/>
    <w:lvl w:ilvl="0" w:tentative="0">
      <w:start w:val="4"/>
      <w:numFmt w:val="decimal"/>
      <w:lvlText w:val="%1）"/>
      <w:lvlJc w:val="left"/>
      <w:pPr>
        <w:tabs>
          <w:tab w:val="left" w:pos="675"/>
        </w:tabs>
        <w:ind w:left="675" w:hanging="360"/>
      </w:pPr>
      <w:rPr>
        <w:rFonts w:hint="default"/>
        <w:color w:val="auto"/>
      </w:rPr>
    </w:lvl>
    <w:lvl w:ilvl="1" w:tentative="0">
      <w:start w:val="1"/>
      <w:numFmt w:val="lowerLetter"/>
      <w:pStyle w:val="150"/>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7">
    <w:nsid w:val="3C30E991"/>
    <w:multiLevelType w:val="singleLevel"/>
    <w:tmpl w:val="3C30E991"/>
    <w:lvl w:ilvl="0" w:tentative="0">
      <w:start w:val="1"/>
      <w:numFmt w:val="decimal"/>
      <w:suff w:val="nothing"/>
      <w:lvlText w:val="（%1）"/>
      <w:lvlJc w:val="left"/>
    </w:lvl>
  </w:abstractNum>
  <w:abstractNum w:abstractNumId="8">
    <w:nsid w:val="657D3FBC"/>
    <w:multiLevelType w:val="multilevel"/>
    <w:tmpl w:val="657D3FBC"/>
    <w:lvl w:ilvl="0" w:tentative="0">
      <w:start w:val="1"/>
      <w:numFmt w:val="upperLetter"/>
      <w:pStyle w:val="122"/>
      <w:suff w:val="nothing"/>
      <w:lvlText w:val="附　录　%1"/>
      <w:lvlJc w:val="left"/>
      <w:pPr>
        <w:ind w:left="0" w:firstLine="0"/>
      </w:pPr>
      <w:rPr>
        <w:rFonts w:hint="eastAsia" w:ascii="黑体" w:hAnsi="Times New Roman" w:eastAsia="黑体"/>
        <w:b w:val="0"/>
        <w:i w:val="0"/>
        <w:sz w:val="21"/>
        <w:lang w:val="en-US"/>
      </w:rPr>
    </w:lvl>
    <w:lvl w:ilvl="1" w:tentative="0">
      <w:start w:val="1"/>
      <w:numFmt w:val="decimal"/>
      <w:pStyle w:val="12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2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129"/>
      <w:suff w:val="nothing"/>
      <w:lvlText w:val="%1"/>
      <w:lvlJc w:val="left"/>
      <w:pPr>
        <w:ind w:left="0" w:firstLine="0"/>
      </w:pPr>
      <w:rPr>
        <w:rFonts w:hint="default" w:ascii="Times New Roman" w:hAnsi="Times New Roman"/>
        <w:b/>
        <w:i w:val="0"/>
        <w:sz w:val="21"/>
      </w:rPr>
    </w:lvl>
    <w:lvl w:ilvl="1" w:tentative="0">
      <w:start w:val="1"/>
      <w:numFmt w:val="decimal"/>
      <w:pStyle w:val="13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32"/>
      <w:suff w:val="nothing"/>
      <w:lvlText w:val="%1%2.%3.%4　"/>
      <w:lvlJc w:val="left"/>
      <w:pPr>
        <w:ind w:left="198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35"/>
      <w:suff w:val="nothing"/>
      <w:lvlText w:val="%1%2.%3.%4.%5.%6　"/>
      <w:lvlJc w:val="left"/>
      <w:pPr>
        <w:ind w:left="0" w:firstLine="0"/>
      </w:pPr>
      <w:rPr>
        <w:rFonts w:hint="eastAsia" w:ascii="黑体" w:hAnsi="Times New Roman" w:eastAsia="黑体"/>
        <w:b w:val="0"/>
        <w:i w:val="0"/>
        <w:sz w:val="21"/>
      </w:rPr>
    </w:lvl>
    <w:lvl w:ilvl="6" w:tentative="0">
      <w:start w:val="1"/>
      <w:numFmt w:val="decimal"/>
      <w:pStyle w:val="1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9"/>
  </w:num>
  <w:num w:numId="3">
    <w:abstractNumId w:val="4"/>
  </w:num>
  <w:num w:numId="4">
    <w:abstractNumId w:val="6"/>
  </w:num>
  <w:num w:numId="5">
    <w:abstractNumId w:val="5"/>
  </w:num>
  <w:num w:numId="6">
    <w:abstractNumId w:val="1"/>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FD"/>
    <w:rsid w:val="000002A4"/>
    <w:rsid w:val="00002243"/>
    <w:rsid w:val="00003F69"/>
    <w:rsid w:val="00006790"/>
    <w:rsid w:val="00007599"/>
    <w:rsid w:val="00013998"/>
    <w:rsid w:val="000246E6"/>
    <w:rsid w:val="00025573"/>
    <w:rsid w:val="00026535"/>
    <w:rsid w:val="00032EA8"/>
    <w:rsid w:val="0003440E"/>
    <w:rsid w:val="00040DA4"/>
    <w:rsid w:val="0004337F"/>
    <w:rsid w:val="00047DC1"/>
    <w:rsid w:val="00051CF6"/>
    <w:rsid w:val="00053925"/>
    <w:rsid w:val="000543A5"/>
    <w:rsid w:val="00054D84"/>
    <w:rsid w:val="00054FFA"/>
    <w:rsid w:val="00055548"/>
    <w:rsid w:val="000574A4"/>
    <w:rsid w:val="00057BDA"/>
    <w:rsid w:val="00066487"/>
    <w:rsid w:val="00067533"/>
    <w:rsid w:val="000676A2"/>
    <w:rsid w:val="00067AC4"/>
    <w:rsid w:val="00071046"/>
    <w:rsid w:val="000730B7"/>
    <w:rsid w:val="00074727"/>
    <w:rsid w:val="0007639F"/>
    <w:rsid w:val="0007671F"/>
    <w:rsid w:val="000868B8"/>
    <w:rsid w:val="00087703"/>
    <w:rsid w:val="00090FA2"/>
    <w:rsid w:val="00091101"/>
    <w:rsid w:val="000913BC"/>
    <w:rsid w:val="00091C2A"/>
    <w:rsid w:val="000938F3"/>
    <w:rsid w:val="00093C9C"/>
    <w:rsid w:val="000A08D2"/>
    <w:rsid w:val="000A08F2"/>
    <w:rsid w:val="000A2100"/>
    <w:rsid w:val="000A29D0"/>
    <w:rsid w:val="000A4C8C"/>
    <w:rsid w:val="000A6401"/>
    <w:rsid w:val="000A6AD4"/>
    <w:rsid w:val="000A6CE0"/>
    <w:rsid w:val="000B2CF4"/>
    <w:rsid w:val="000B2DA1"/>
    <w:rsid w:val="000B5AB6"/>
    <w:rsid w:val="000B6B25"/>
    <w:rsid w:val="000B7FFD"/>
    <w:rsid w:val="000C5531"/>
    <w:rsid w:val="000C6F8F"/>
    <w:rsid w:val="000C7E21"/>
    <w:rsid w:val="000D1108"/>
    <w:rsid w:val="000E04DC"/>
    <w:rsid w:val="000E41B3"/>
    <w:rsid w:val="000E4735"/>
    <w:rsid w:val="000E5F1A"/>
    <w:rsid w:val="000E6188"/>
    <w:rsid w:val="000E6CC5"/>
    <w:rsid w:val="000E7EB2"/>
    <w:rsid w:val="000F05BE"/>
    <w:rsid w:val="000F1242"/>
    <w:rsid w:val="000F2F2A"/>
    <w:rsid w:val="000F7402"/>
    <w:rsid w:val="000F75DF"/>
    <w:rsid w:val="0010025F"/>
    <w:rsid w:val="00100433"/>
    <w:rsid w:val="00100C00"/>
    <w:rsid w:val="001029C8"/>
    <w:rsid w:val="0010557F"/>
    <w:rsid w:val="00105F5D"/>
    <w:rsid w:val="001070B2"/>
    <w:rsid w:val="00107A34"/>
    <w:rsid w:val="001110D4"/>
    <w:rsid w:val="0011228E"/>
    <w:rsid w:val="001129D9"/>
    <w:rsid w:val="00113D28"/>
    <w:rsid w:val="001146D6"/>
    <w:rsid w:val="0011562C"/>
    <w:rsid w:val="00117CA3"/>
    <w:rsid w:val="001213AA"/>
    <w:rsid w:val="00122C8A"/>
    <w:rsid w:val="0012565D"/>
    <w:rsid w:val="0012573B"/>
    <w:rsid w:val="001305AB"/>
    <w:rsid w:val="00130E74"/>
    <w:rsid w:val="00131D5F"/>
    <w:rsid w:val="00131E50"/>
    <w:rsid w:val="00133D2D"/>
    <w:rsid w:val="0013561F"/>
    <w:rsid w:val="00144D2B"/>
    <w:rsid w:val="00150F3F"/>
    <w:rsid w:val="0015554B"/>
    <w:rsid w:val="00160823"/>
    <w:rsid w:val="00163324"/>
    <w:rsid w:val="00164DEF"/>
    <w:rsid w:val="001656F0"/>
    <w:rsid w:val="00165BE4"/>
    <w:rsid w:val="001660F1"/>
    <w:rsid w:val="00170A5F"/>
    <w:rsid w:val="00174F62"/>
    <w:rsid w:val="00175D0C"/>
    <w:rsid w:val="00180021"/>
    <w:rsid w:val="0018362A"/>
    <w:rsid w:val="00185EBA"/>
    <w:rsid w:val="00194ACF"/>
    <w:rsid w:val="00195AB9"/>
    <w:rsid w:val="001961DB"/>
    <w:rsid w:val="001965B6"/>
    <w:rsid w:val="001A00CB"/>
    <w:rsid w:val="001A4AC4"/>
    <w:rsid w:val="001B25F7"/>
    <w:rsid w:val="001B30D6"/>
    <w:rsid w:val="001B5124"/>
    <w:rsid w:val="001B514B"/>
    <w:rsid w:val="001B6CD3"/>
    <w:rsid w:val="001C077F"/>
    <w:rsid w:val="001C0EBB"/>
    <w:rsid w:val="001C633A"/>
    <w:rsid w:val="001C658B"/>
    <w:rsid w:val="001D049F"/>
    <w:rsid w:val="001D1528"/>
    <w:rsid w:val="001D1548"/>
    <w:rsid w:val="001D2D91"/>
    <w:rsid w:val="001D586C"/>
    <w:rsid w:val="001D65BA"/>
    <w:rsid w:val="001E00B8"/>
    <w:rsid w:val="001E234C"/>
    <w:rsid w:val="001E3205"/>
    <w:rsid w:val="001E393B"/>
    <w:rsid w:val="001E40CE"/>
    <w:rsid w:val="001E49D7"/>
    <w:rsid w:val="001E4F0E"/>
    <w:rsid w:val="001E5862"/>
    <w:rsid w:val="001F3120"/>
    <w:rsid w:val="001F70DF"/>
    <w:rsid w:val="002048FB"/>
    <w:rsid w:val="00210B3E"/>
    <w:rsid w:val="002123DC"/>
    <w:rsid w:val="00212A7C"/>
    <w:rsid w:val="0021335B"/>
    <w:rsid w:val="00213F22"/>
    <w:rsid w:val="002148C3"/>
    <w:rsid w:val="00217BE9"/>
    <w:rsid w:val="00224720"/>
    <w:rsid w:val="00231953"/>
    <w:rsid w:val="00232DA3"/>
    <w:rsid w:val="002330CA"/>
    <w:rsid w:val="002369CF"/>
    <w:rsid w:val="002373B8"/>
    <w:rsid w:val="0024189B"/>
    <w:rsid w:val="00241CBF"/>
    <w:rsid w:val="00241F8C"/>
    <w:rsid w:val="002427A7"/>
    <w:rsid w:val="002459B8"/>
    <w:rsid w:val="00246683"/>
    <w:rsid w:val="00247300"/>
    <w:rsid w:val="00252A3E"/>
    <w:rsid w:val="0025346C"/>
    <w:rsid w:val="00254FD3"/>
    <w:rsid w:val="002552D8"/>
    <w:rsid w:val="002606D4"/>
    <w:rsid w:val="00260C70"/>
    <w:rsid w:val="00261616"/>
    <w:rsid w:val="002630AF"/>
    <w:rsid w:val="002632CE"/>
    <w:rsid w:val="00264931"/>
    <w:rsid w:val="0026639C"/>
    <w:rsid w:val="00270B10"/>
    <w:rsid w:val="00270C19"/>
    <w:rsid w:val="0027122B"/>
    <w:rsid w:val="002735B2"/>
    <w:rsid w:val="00276155"/>
    <w:rsid w:val="00276B8F"/>
    <w:rsid w:val="00281E42"/>
    <w:rsid w:val="00282E8E"/>
    <w:rsid w:val="002831E9"/>
    <w:rsid w:val="002909A9"/>
    <w:rsid w:val="002930E6"/>
    <w:rsid w:val="00294614"/>
    <w:rsid w:val="0029678F"/>
    <w:rsid w:val="00296A5B"/>
    <w:rsid w:val="00297315"/>
    <w:rsid w:val="002A4627"/>
    <w:rsid w:val="002A777E"/>
    <w:rsid w:val="002A7B8A"/>
    <w:rsid w:val="002B185C"/>
    <w:rsid w:val="002B1BF6"/>
    <w:rsid w:val="002B25E1"/>
    <w:rsid w:val="002B7625"/>
    <w:rsid w:val="002C4770"/>
    <w:rsid w:val="002C50EC"/>
    <w:rsid w:val="002D4DFC"/>
    <w:rsid w:val="002D7CA1"/>
    <w:rsid w:val="002D7F1C"/>
    <w:rsid w:val="002E55CB"/>
    <w:rsid w:val="002E6E47"/>
    <w:rsid w:val="002E7C20"/>
    <w:rsid w:val="002F372B"/>
    <w:rsid w:val="003000DA"/>
    <w:rsid w:val="00300CF4"/>
    <w:rsid w:val="00300D26"/>
    <w:rsid w:val="00301590"/>
    <w:rsid w:val="00301EB7"/>
    <w:rsid w:val="003034B5"/>
    <w:rsid w:val="00304C18"/>
    <w:rsid w:val="00313F50"/>
    <w:rsid w:val="0032588D"/>
    <w:rsid w:val="00326C0B"/>
    <w:rsid w:val="00327B60"/>
    <w:rsid w:val="00331229"/>
    <w:rsid w:val="00332BB5"/>
    <w:rsid w:val="00332EA8"/>
    <w:rsid w:val="00341A0A"/>
    <w:rsid w:val="003431F6"/>
    <w:rsid w:val="0034351A"/>
    <w:rsid w:val="0034396A"/>
    <w:rsid w:val="00343D53"/>
    <w:rsid w:val="00343E40"/>
    <w:rsid w:val="00346963"/>
    <w:rsid w:val="00346DC4"/>
    <w:rsid w:val="00353F51"/>
    <w:rsid w:val="00353F9D"/>
    <w:rsid w:val="003545B6"/>
    <w:rsid w:val="00354737"/>
    <w:rsid w:val="00357ACD"/>
    <w:rsid w:val="00360419"/>
    <w:rsid w:val="00363E11"/>
    <w:rsid w:val="00365E02"/>
    <w:rsid w:val="00367F10"/>
    <w:rsid w:val="00370EBD"/>
    <w:rsid w:val="00372F5F"/>
    <w:rsid w:val="00373EA3"/>
    <w:rsid w:val="00376D01"/>
    <w:rsid w:val="00384261"/>
    <w:rsid w:val="0038467B"/>
    <w:rsid w:val="003948B0"/>
    <w:rsid w:val="00394A39"/>
    <w:rsid w:val="00397AE6"/>
    <w:rsid w:val="00397BDE"/>
    <w:rsid w:val="003A02D5"/>
    <w:rsid w:val="003A0C38"/>
    <w:rsid w:val="003A2B47"/>
    <w:rsid w:val="003A686C"/>
    <w:rsid w:val="003B09EB"/>
    <w:rsid w:val="003B0C0B"/>
    <w:rsid w:val="003B5E10"/>
    <w:rsid w:val="003B62F6"/>
    <w:rsid w:val="003B7A08"/>
    <w:rsid w:val="003C0159"/>
    <w:rsid w:val="003C1BDC"/>
    <w:rsid w:val="003C22C6"/>
    <w:rsid w:val="003C2F79"/>
    <w:rsid w:val="003C37AA"/>
    <w:rsid w:val="003C4C59"/>
    <w:rsid w:val="003C4F8F"/>
    <w:rsid w:val="003C4FEB"/>
    <w:rsid w:val="003C612D"/>
    <w:rsid w:val="003D38BE"/>
    <w:rsid w:val="003D6891"/>
    <w:rsid w:val="003E18B0"/>
    <w:rsid w:val="003E2653"/>
    <w:rsid w:val="003E2A84"/>
    <w:rsid w:val="003E3037"/>
    <w:rsid w:val="003E35B1"/>
    <w:rsid w:val="003E3FED"/>
    <w:rsid w:val="003F0439"/>
    <w:rsid w:val="003F0543"/>
    <w:rsid w:val="003F0959"/>
    <w:rsid w:val="003F1A1C"/>
    <w:rsid w:val="003F1D3C"/>
    <w:rsid w:val="003F6241"/>
    <w:rsid w:val="003F703E"/>
    <w:rsid w:val="00415BC6"/>
    <w:rsid w:val="004233F2"/>
    <w:rsid w:val="00423A57"/>
    <w:rsid w:val="00424C49"/>
    <w:rsid w:val="00425CC4"/>
    <w:rsid w:val="00426011"/>
    <w:rsid w:val="00426CD9"/>
    <w:rsid w:val="00430BD6"/>
    <w:rsid w:val="00432113"/>
    <w:rsid w:val="00433D88"/>
    <w:rsid w:val="0043422E"/>
    <w:rsid w:val="004357C5"/>
    <w:rsid w:val="00436272"/>
    <w:rsid w:val="00437E48"/>
    <w:rsid w:val="00441F4B"/>
    <w:rsid w:val="00452ABF"/>
    <w:rsid w:val="00452E38"/>
    <w:rsid w:val="00453020"/>
    <w:rsid w:val="00453231"/>
    <w:rsid w:val="004634A5"/>
    <w:rsid w:val="004638DC"/>
    <w:rsid w:val="004651D5"/>
    <w:rsid w:val="004667C3"/>
    <w:rsid w:val="00467587"/>
    <w:rsid w:val="00467761"/>
    <w:rsid w:val="00471EDA"/>
    <w:rsid w:val="0047271D"/>
    <w:rsid w:val="004729E6"/>
    <w:rsid w:val="00474556"/>
    <w:rsid w:val="00476D3D"/>
    <w:rsid w:val="004774B8"/>
    <w:rsid w:val="0048551E"/>
    <w:rsid w:val="00485F66"/>
    <w:rsid w:val="00486E90"/>
    <w:rsid w:val="0049407E"/>
    <w:rsid w:val="004948A8"/>
    <w:rsid w:val="004949AD"/>
    <w:rsid w:val="00494FD2"/>
    <w:rsid w:val="00495B90"/>
    <w:rsid w:val="0049723E"/>
    <w:rsid w:val="004A1510"/>
    <w:rsid w:val="004A3F75"/>
    <w:rsid w:val="004A6E28"/>
    <w:rsid w:val="004B2370"/>
    <w:rsid w:val="004B4AA3"/>
    <w:rsid w:val="004B521F"/>
    <w:rsid w:val="004B625C"/>
    <w:rsid w:val="004B75BE"/>
    <w:rsid w:val="004C1493"/>
    <w:rsid w:val="004D0679"/>
    <w:rsid w:val="004D1FB4"/>
    <w:rsid w:val="004D2B72"/>
    <w:rsid w:val="004D491E"/>
    <w:rsid w:val="004D6D86"/>
    <w:rsid w:val="004E1DE8"/>
    <w:rsid w:val="004E29BE"/>
    <w:rsid w:val="004E4E53"/>
    <w:rsid w:val="004F15D7"/>
    <w:rsid w:val="004F65C1"/>
    <w:rsid w:val="00502A62"/>
    <w:rsid w:val="00503371"/>
    <w:rsid w:val="005055B5"/>
    <w:rsid w:val="005141E2"/>
    <w:rsid w:val="005166E9"/>
    <w:rsid w:val="00516E4C"/>
    <w:rsid w:val="005203C6"/>
    <w:rsid w:val="00520B65"/>
    <w:rsid w:val="005216A8"/>
    <w:rsid w:val="0052342B"/>
    <w:rsid w:val="00526F4A"/>
    <w:rsid w:val="00527465"/>
    <w:rsid w:val="0052780F"/>
    <w:rsid w:val="00530B43"/>
    <w:rsid w:val="0053147E"/>
    <w:rsid w:val="00534596"/>
    <w:rsid w:val="005364B1"/>
    <w:rsid w:val="00536882"/>
    <w:rsid w:val="0054073F"/>
    <w:rsid w:val="0054162B"/>
    <w:rsid w:val="00541A4C"/>
    <w:rsid w:val="005437BB"/>
    <w:rsid w:val="005509F5"/>
    <w:rsid w:val="00554BB2"/>
    <w:rsid w:val="00557905"/>
    <w:rsid w:val="00562AE8"/>
    <w:rsid w:val="00563972"/>
    <w:rsid w:val="00563DF7"/>
    <w:rsid w:val="00564A38"/>
    <w:rsid w:val="00565995"/>
    <w:rsid w:val="00567573"/>
    <w:rsid w:val="0057115B"/>
    <w:rsid w:val="00571724"/>
    <w:rsid w:val="00572F20"/>
    <w:rsid w:val="00573E41"/>
    <w:rsid w:val="00575530"/>
    <w:rsid w:val="00577C3A"/>
    <w:rsid w:val="005822D9"/>
    <w:rsid w:val="00585D1D"/>
    <w:rsid w:val="00586D4E"/>
    <w:rsid w:val="0059109D"/>
    <w:rsid w:val="00591476"/>
    <w:rsid w:val="005930AD"/>
    <w:rsid w:val="00593EFB"/>
    <w:rsid w:val="005958F0"/>
    <w:rsid w:val="005A0D8E"/>
    <w:rsid w:val="005A0EBE"/>
    <w:rsid w:val="005A14D3"/>
    <w:rsid w:val="005A17CF"/>
    <w:rsid w:val="005A39FC"/>
    <w:rsid w:val="005A4653"/>
    <w:rsid w:val="005A4CF2"/>
    <w:rsid w:val="005A77E1"/>
    <w:rsid w:val="005B10E1"/>
    <w:rsid w:val="005B1F0C"/>
    <w:rsid w:val="005B2224"/>
    <w:rsid w:val="005B6877"/>
    <w:rsid w:val="005B6966"/>
    <w:rsid w:val="005B6CF4"/>
    <w:rsid w:val="005C1004"/>
    <w:rsid w:val="005C103E"/>
    <w:rsid w:val="005C2B6B"/>
    <w:rsid w:val="005C5C77"/>
    <w:rsid w:val="005C6D78"/>
    <w:rsid w:val="005C7A6B"/>
    <w:rsid w:val="005D64E7"/>
    <w:rsid w:val="005E5686"/>
    <w:rsid w:val="005E6176"/>
    <w:rsid w:val="005E74B2"/>
    <w:rsid w:val="005F137F"/>
    <w:rsid w:val="005F6644"/>
    <w:rsid w:val="005F7A9B"/>
    <w:rsid w:val="00600C94"/>
    <w:rsid w:val="006021E4"/>
    <w:rsid w:val="006022C6"/>
    <w:rsid w:val="00602BA4"/>
    <w:rsid w:val="00602F89"/>
    <w:rsid w:val="0060523D"/>
    <w:rsid w:val="00611697"/>
    <w:rsid w:val="006131F1"/>
    <w:rsid w:val="00615E62"/>
    <w:rsid w:val="00617EE3"/>
    <w:rsid w:val="0062164C"/>
    <w:rsid w:val="00621824"/>
    <w:rsid w:val="006244E7"/>
    <w:rsid w:val="00624565"/>
    <w:rsid w:val="0063164C"/>
    <w:rsid w:val="00631684"/>
    <w:rsid w:val="00631782"/>
    <w:rsid w:val="00634122"/>
    <w:rsid w:val="00634FED"/>
    <w:rsid w:val="006356AD"/>
    <w:rsid w:val="0064100D"/>
    <w:rsid w:val="0064169D"/>
    <w:rsid w:val="00642582"/>
    <w:rsid w:val="00642810"/>
    <w:rsid w:val="00642E1C"/>
    <w:rsid w:val="0064476E"/>
    <w:rsid w:val="00650861"/>
    <w:rsid w:val="00651704"/>
    <w:rsid w:val="00652E23"/>
    <w:rsid w:val="00655708"/>
    <w:rsid w:val="006567C5"/>
    <w:rsid w:val="006602D0"/>
    <w:rsid w:val="00660489"/>
    <w:rsid w:val="0066351E"/>
    <w:rsid w:val="00665FE2"/>
    <w:rsid w:val="00667038"/>
    <w:rsid w:val="00670753"/>
    <w:rsid w:val="00670FCF"/>
    <w:rsid w:val="00670FD0"/>
    <w:rsid w:val="00672779"/>
    <w:rsid w:val="00674741"/>
    <w:rsid w:val="00675815"/>
    <w:rsid w:val="00676360"/>
    <w:rsid w:val="00676ABA"/>
    <w:rsid w:val="0067708C"/>
    <w:rsid w:val="00680FD4"/>
    <w:rsid w:val="00682517"/>
    <w:rsid w:val="00685E42"/>
    <w:rsid w:val="00692F26"/>
    <w:rsid w:val="0069324B"/>
    <w:rsid w:val="006951B1"/>
    <w:rsid w:val="00697717"/>
    <w:rsid w:val="006A0227"/>
    <w:rsid w:val="006A0580"/>
    <w:rsid w:val="006A1B18"/>
    <w:rsid w:val="006A2E09"/>
    <w:rsid w:val="006A4DC6"/>
    <w:rsid w:val="006A6C86"/>
    <w:rsid w:val="006B3A01"/>
    <w:rsid w:val="006B3C43"/>
    <w:rsid w:val="006B4200"/>
    <w:rsid w:val="006B4316"/>
    <w:rsid w:val="006B57E8"/>
    <w:rsid w:val="006B6AF6"/>
    <w:rsid w:val="006B79DA"/>
    <w:rsid w:val="006C0453"/>
    <w:rsid w:val="006C27E8"/>
    <w:rsid w:val="006C490E"/>
    <w:rsid w:val="006C4F6C"/>
    <w:rsid w:val="006C6E7D"/>
    <w:rsid w:val="006D2DCA"/>
    <w:rsid w:val="006D33B9"/>
    <w:rsid w:val="006D532E"/>
    <w:rsid w:val="006D72EF"/>
    <w:rsid w:val="006E1356"/>
    <w:rsid w:val="006E2B7B"/>
    <w:rsid w:val="006E319D"/>
    <w:rsid w:val="006E39F9"/>
    <w:rsid w:val="006E3D4F"/>
    <w:rsid w:val="006E6C8F"/>
    <w:rsid w:val="006E6DA0"/>
    <w:rsid w:val="006F0124"/>
    <w:rsid w:val="006F0764"/>
    <w:rsid w:val="006F2411"/>
    <w:rsid w:val="006F4EB5"/>
    <w:rsid w:val="006F535C"/>
    <w:rsid w:val="00700974"/>
    <w:rsid w:val="00701E86"/>
    <w:rsid w:val="00702B34"/>
    <w:rsid w:val="007064ED"/>
    <w:rsid w:val="0071007B"/>
    <w:rsid w:val="00713EF1"/>
    <w:rsid w:val="00714CDC"/>
    <w:rsid w:val="00717A1C"/>
    <w:rsid w:val="0072053B"/>
    <w:rsid w:val="00725210"/>
    <w:rsid w:val="00730FC7"/>
    <w:rsid w:val="00733340"/>
    <w:rsid w:val="0073355D"/>
    <w:rsid w:val="00734495"/>
    <w:rsid w:val="0073618D"/>
    <w:rsid w:val="00747C1A"/>
    <w:rsid w:val="00753160"/>
    <w:rsid w:val="00753A9F"/>
    <w:rsid w:val="00755254"/>
    <w:rsid w:val="00757573"/>
    <w:rsid w:val="007606DC"/>
    <w:rsid w:val="00763266"/>
    <w:rsid w:val="00764F46"/>
    <w:rsid w:val="00765274"/>
    <w:rsid w:val="007667C8"/>
    <w:rsid w:val="00770C11"/>
    <w:rsid w:val="00771533"/>
    <w:rsid w:val="0077172A"/>
    <w:rsid w:val="00775E58"/>
    <w:rsid w:val="00784E34"/>
    <w:rsid w:val="00785BAB"/>
    <w:rsid w:val="0079179C"/>
    <w:rsid w:val="00791823"/>
    <w:rsid w:val="00791B74"/>
    <w:rsid w:val="00791CA1"/>
    <w:rsid w:val="00793C43"/>
    <w:rsid w:val="00794028"/>
    <w:rsid w:val="00795704"/>
    <w:rsid w:val="0079623F"/>
    <w:rsid w:val="007A0ACD"/>
    <w:rsid w:val="007A28D8"/>
    <w:rsid w:val="007A3279"/>
    <w:rsid w:val="007A3BE9"/>
    <w:rsid w:val="007A400D"/>
    <w:rsid w:val="007A42AA"/>
    <w:rsid w:val="007B07E3"/>
    <w:rsid w:val="007B154D"/>
    <w:rsid w:val="007B7A2E"/>
    <w:rsid w:val="007B7AC9"/>
    <w:rsid w:val="007B7E51"/>
    <w:rsid w:val="007C178C"/>
    <w:rsid w:val="007C1EFE"/>
    <w:rsid w:val="007D0FFA"/>
    <w:rsid w:val="007D2556"/>
    <w:rsid w:val="007D2E9D"/>
    <w:rsid w:val="007D518A"/>
    <w:rsid w:val="007D66AB"/>
    <w:rsid w:val="007D6E66"/>
    <w:rsid w:val="007D7608"/>
    <w:rsid w:val="007E2E97"/>
    <w:rsid w:val="007E7BA3"/>
    <w:rsid w:val="007F0123"/>
    <w:rsid w:val="007F0EF8"/>
    <w:rsid w:val="007F2935"/>
    <w:rsid w:val="007F2A30"/>
    <w:rsid w:val="007F2D42"/>
    <w:rsid w:val="007F73F5"/>
    <w:rsid w:val="00801736"/>
    <w:rsid w:val="00801D4B"/>
    <w:rsid w:val="00802079"/>
    <w:rsid w:val="00803C4C"/>
    <w:rsid w:val="008067E1"/>
    <w:rsid w:val="008078C3"/>
    <w:rsid w:val="008104C3"/>
    <w:rsid w:val="0081059A"/>
    <w:rsid w:val="008131FF"/>
    <w:rsid w:val="008148B7"/>
    <w:rsid w:val="008148FA"/>
    <w:rsid w:val="00814B9C"/>
    <w:rsid w:val="00815BAE"/>
    <w:rsid w:val="00817078"/>
    <w:rsid w:val="00820334"/>
    <w:rsid w:val="008255EF"/>
    <w:rsid w:val="008271B1"/>
    <w:rsid w:val="008307E4"/>
    <w:rsid w:val="008321CC"/>
    <w:rsid w:val="00832DBB"/>
    <w:rsid w:val="00842A3E"/>
    <w:rsid w:val="00842B8D"/>
    <w:rsid w:val="0084494A"/>
    <w:rsid w:val="008465E2"/>
    <w:rsid w:val="00847507"/>
    <w:rsid w:val="00850BB6"/>
    <w:rsid w:val="0085131E"/>
    <w:rsid w:val="00851812"/>
    <w:rsid w:val="00852B9D"/>
    <w:rsid w:val="00853668"/>
    <w:rsid w:val="00854274"/>
    <w:rsid w:val="00854BCF"/>
    <w:rsid w:val="008638ED"/>
    <w:rsid w:val="00864168"/>
    <w:rsid w:val="00864D1E"/>
    <w:rsid w:val="00865030"/>
    <w:rsid w:val="008666CD"/>
    <w:rsid w:val="00866DE3"/>
    <w:rsid w:val="00872A87"/>
    <w:rsid w:val="00875938"/>
    <w:rsid w:val="0087760F"/>
    <w:rsid w:val="0088059C"/>
    <w:rsid w:val="00881703"/>
    <w:rsid w:val="00883C21"/>
    <w:rsid w:val="00885DAA"/>
    <w:rsid w:val="008877C8"/>
    <w:rsid w:val="00887A8A"/>
    <w:rsid w:val="00887D44"/>
    <w:rsid w:val="008908EE"/>
    <w:rsid w:val="0089126C"/>
    <w:rsid w:val="0089354C"/>
    <w:rsid w:val="008940C0"/>
    <w:rsid w:val="00897EA3"/>
    <w:rsid w:val="008A2D61"/>
    <w:rsid w:val="008A4F1A"/>
    <w:rsid w:val="008A5217"/>
    <w:rsid w:val="008A57C1"/>
    <w:rsid w:val="008A6900"/>
    <w:rsid w:val="008B132E"/>
    <w:rsid w:val="008B134D"/>
    <w:rsid w:val="008B1605"/>
    <w:rsid w:val="008B1F02"/>
    <w:rsid w:val="008B2C2B"/>
    <w:rsid w:val="008B6671"/>
    <w:rsid w:val="008C3039"/>
    <w:rsid w:val="008C521F"/>
    <w:rsid w:val="008C6386"/>
    <w:rsid w:val="008C6965"/>
    <w:rsid w:val="008C69A4"/>
    <w:rsid w:val="008D1CDB"/>
    <w:rsid w:val="008D5C2E"/>
    <w:rsid w:val="008E2CFE"/>
    <w:rsid w:val="008F0B94"/>
    <w:rsid w:val="008F0D27"/>
    <w:rsid w:val="008F2A7B"/>
    <w:rsid w:val="008F5166"/>
    <w:rsid w:val="008F7EC3"/>
    <w:rsid w:val="0090063B"/>
    <w:rsid w:val="00900803"/>
    <w:rsid w:val="00900B66"/>
    <w:rsid w:val="009015D4"/>
    <w:rsid w:val="009027CC"/>
    <w:rsid w:val="009031D1"/>
    <w:rsid w:val="009034BF"/>
    <w:rsid w:val="00903D2D"/>
    <w:rsid w:val="009058D6"/>
    <w:rsid w:val="00905FB5"/>
    <w:rsid w:val="00906642"/>
    <w:rsid w:val="0091053E"/>
    <w:rsid w:val="00910AC0"/>
    <w:rsid w:val="0091216B"/>
    <w:rsid w:val="00912FE6"/>
    <w:rsid w:val="00914832"/>
    <w:rsid w:val="00922B78"/>
    <w:rsid w:val="0092432E"/>
    <w:rsid w:val="00924562"/>
    <w:rsid w:val="00931144"/>
    <w:rsid w:val="00933F30"/>
    <w:rsid w:val="009346F3"/>
    <w:rsid w:val="009353D6"/>
    <w:rsid w:val="00936A6C"/>
    <w:rsid w:val="00940946"/>
    <w:rsid w:val="00940A94"/>
    <w:rsid w:val="009422C2"/>
    <w:rsid w:val="00942313"/>
    <w:rsid w:val="009445A5"/>
    <w:rsid w:val="009445E0"/>
    <w:rsid w:val="00947B9E"/>
    <w:rsid w:val="00952F2C"/>
    <w:rsid w:val="0095304C"/>
    <w:rsid w:val="009551D7"/>
    <w:rsid w:val="00955ABB"/>
    <w:rsid w:val="009608FE"/>
    <w:rsid w:val="00960A8E"/>
    <w:rsid w:val="009623A6"/>
    <w:rsid w:val="00963F11"/>
    <w:rsid w:val="00966965"/>
    <w:rsid w:val="009678A3"/>
    <w:rsid w:val="009702DD"/>
    <w:rsid w:val="00975033"/>
    <w:rsid w:val="00980E44"/>
    <w:rsid w:val="00981995"/>
    <w:rsid w:val="0098217F"/>
    <w:rsid w:val="00983784"/>
    <w:rsid w:val="00983B1C"/>
    <w:rsid w:val="009863C9"/>
    <w:rsid w:val="00987C7C"/>
    <w:rsid w:val="00992C0F"/>
    <w:rsid w:val="009A147D"/>
    <w:rsid w:val="009A154A"/>
    <w:rsid w:val="009A2863"/>
    <w:rsid w:val="009A43A0"/>
    <w:rsid w:val="009B6BC3"/>
    <w:rsid w:val="009B733C"/>
    <w:rsid w:val="009C0D07"/>
    <w:rsid w:val="009C11E2"/>
    <w:rsid w:val="009C3B6A"/>
    <w:rsid w:val="009C467C"/>
    <w:rsid w:val="009C5756"/>
    <w:rsid w:val="009C585D"/>
    <w:rsid w:val="009C6512"/>
    <w:rsid w:val="009C6535"/>
    <w:rsid w:val="009C7E27"/>
    <w:rsid w:val="009D382B"/>
    <w:rsid w:val="009D5B81"/>
    <w:rsid w:val="009E0A16"/>
    <w:rsid w:val="009F10A9"/>
    <w:rsid w:val="009F175C"/>
    <w:rsid w:val="009F3BC0"/>
    <w:rsid w:val="009F473E"/>
    <w:rsid w:val="009F4CE7"/>
    <w:rsid w:val="009F5C9C"/>
    <w:rsid w:val="009F5CB7"/>
    <w:rsid w:val="009F6C1C"/>
    <w:rsid w:val="00A0076D"/>
    <w:rsid w:val="00A02718"/>
    <w:rsid w:val="00A045B0"/>
    <w:rsid w:val="00A05205"/>
    <w:rsid w:val="00A06E05"/>
    <w:rsid w:val="00A07C29"/>
    <w:rsid w:val="00A11559"/>
    <w:rsid w:val="00A12F51"/>
    <w:rsid w:val="00A1351B"/>
    <w:rsid w:val="00A13CD1"/>
    <w:rsid w:val="00A2247A"/>
    <w:rsid w:val="00A22AC7"/>
    <w:rsid w:val="00A23F0E"/>
    <w:rsid w:val="00A268AB"/>
    <w:rsid w:val="00A26C9F"/>
    <w:rsid w:val="00A27CD3"/>
    <w:rsid w:val="00A308EE"/>
    <w:rsid w:val="00A320CD"/>
    <w:rsid w:val="00A33522"/>
    <w:rsid w:val="00A34ACC"/>
    <w:rsid w:val="00A35E54"/>
    <w:rsid w:val="00A41975"/>
    <w:rsid w:val="00A443A8"/>
    <w:rsid w:val="00A449E6"/>
    <w:rsid w:val="00A45219"/>
    <w:rsid w:val="00A4582E"/>
    <w:rsid w:val="00A47346"/>
    <w:rsid w:val="00A50CFF"/>
    <w:rsid w:val="00A50F2C"/>
    <w:rsid w:val="00A51B16"/>
    <w:rsid w:val="00A537A7"/>
    <w:rsid w:val="00A53F05"/>
    <w:rsid w:val="00A54FEA"/>
    <w:rsid w:val="00A60463"/>
    <w:rsid w:val="00A61F03"/>
    <w:rsid w:val="00A62E3C"/>
    <w:rsid w:val="00A62E7C"/>
    <w:rsid w:val="00A63FCC"/>
    <w:rsid w:val="00A65882"/>
    <w:rsid w:val="00A6671F"/>
    <w:rsid w:val="00A67409"/>
    <w:rsid w:val="00A703E2"/>
    <w:rsid w:val="00A70540"/>
    <w:rsid w:val="00A70ADB"/>
    <w:rsid w:val="00A72ACB"/>
    <w:rsid w:val="00A74205"/>
    <w:rsid w:val="00A74AA6"/>
    <w:rsid w:val="00A76DFA"/>
    <w:rsid w:val="00A77315"/>
    <w:rsid w:val="00A77AF9"/>
    <w:rsid w:val="00A80C21"/>
    <w:rsid w:val="00A81B57"/>
    <w:rsid w:val="00A83234"/>
    <w:rsid w:val="00A8543F"/>
    <w:rsid w:val="00A8665B"/>
    <w:rsid w:val="00A91619"/>
    <w:rsid w:val="00A920E9"/>
    <w:rsid w:val="00A9252E"/>
    <w:rsid w:val="00A92728"/>
    <w:rsid w:val="00A95A8D"/>
    <w:rsid w:val="00A9615B"/>
    <w:rsid w:val="00A96366"/>
    <w:rsid w:val="00AA005D"/>
    <w:rsid w:val="00AA04F8"/>
    <w:rsid w:val="00AA181B"/>
    <w:rsid w:val="00AA46EB"/>
    <w:rsid w:val="00AA4BBC"/>
    <w:rsid w:val="00AA7D72"/>
    <w:rsid w:val="00AB10C0"/>
    <w:rsid w:val="00AB5312"/>
    <w:rsid w:val="00AB5650"/>
    <w:rsid w:val="00AD0A23"/>
    <w:rsid w:val="00AD4DB6"/>
    <w:rsid w:val="00AD6A47"/>
    <w:rsid w:val="00AE0C6A"/>
    <w:rsid w:val="00AE0D13"/>
    <w:rsid w:val="00AE2B15"/>
    <w:rsid w:val="00AE4132"/>
    <w:rsid w:val="00AE5B90"/>
    <w:rsid w:val="00AE68DC"/>
    <w:rsid w:val="00AE68FF"/>
    <w:rsid w:val="00AE6F2B"/>
    <w:rsid w:val="00AE7EBC"/>
    <w:rsid w:val="00AF2600"/>
    <w:rsid w:val="00AF2ADF"/>
    <w:rsid w:val="00AF450D"/>
    <w:rsid w:val="00AF53E8"/>
    <w:rsid w:val="00AF5A0C"/>
    <w:rsid w:val="00AF6500"/>
    <w:rsid w:val="00AF6C6A"/>
    <w:rsid w:val="00AF6D46"/>
    <w:rsid w:val="00AF7016"/>
    <w:rsid w:val="00B02DBD"/>
    <w:rsid w:val="00B040E1"/>
    <w:rsid w:val="00B0474F"/>
    <w:rsid w:val="00B06844"/>
    <w:rsid w:val="00B073C6"/>
    <w:rsid w:val="00B14897"/>
    <w:rsid w:val="00B149CD"/>
    <w:rsid w:val="00B15B96"/>
    <w:rsid w:val="00B15E05"/>
    <w:rsid w:val="00B202EE"/>
    <w:rsid w:val="00B20548"/>
    <w:rsid w:val="00B22481"/>
    <w:rsid w:val="00B267A2"/>
    <w:rsid w:val="00B313B1"/>
    <w:rsid w:val="00B31D1D"/>
    <w:rsid w:val="00B330C8"/>
    <w:rsid w:val="00B34370"/>
    <w:rsid w:val="00B35EA2"/>
    <w:rsid w:val="00B401E5"/>
    <w:rsid w:val="00B42A01"/>
    <w:rsid w:val="00B4410F"/>
    <w:rsid w:val="00B44AFC"/>
    <w:rsid w:val="00B477E4"/>
    <w:rsid w:val="00B47FFE"/>
    <w:rsid w:val="00B50CA1"/>
    <w:rsid w:val="00B53EA1"/>
    <w:rsid w:val="00B55175"/>
    <w:rsid w:val="00B567B3"/>
    <w:rsid w:val="00B571A4"/>
    <w:rsid w:val="00B606D1"/>
    <w:rsid w:val="00B62C9B"/>
    <w:rsid w:val="00B6558E"/>
    <w:rsid w:val="00B65A8B"/>
    <w:rsid w:val="00B7565F"/>
    <w:rsid w:val="00B75CAF"/>
    <w:rsid w:val="00B75E75"/>
    <w:rsid w:val="00B76D56"/>
    <w:rsid w:val="00B8108A"/>
    <w:rsid w:val="00B86247"/>
    <w:rsid w:val="00B9243E"/>
    <w:rsid w:val="00B960AA"/>
    <w:rsid w:val="00B96D96"/>
    <w:rsid w:val="00B977AE"/>
    <w:rsid w:val="00BA0271"/>
    <w:rsid w:val="00BA273D"/>
    <w:rsid w:val="00BA2E9D"/>
    <w:rsid w:val="00BA31F7"/>
    <w:rsid w:val="00BA3596"/>
    <w:rsid w:val="00BA6120"/>
    <w:rsid w:val="00BA6310"/>
    <w:rsid w:val="00BB2FA0"/>
    <w:rsid w:val="00BB55B8"/>
    <w:rsid w:val="00BB7A8E"/>
    <w:rsid w:val="00BC0288"/>
    <w:rsid w:val="00BC03C5"/>
    <w:rsid w:val="00BC4C85"/>
    <w:rsid w:val="00BC5938"/>
    <w:rsid w:val="00BC7CB0"/>
    <w:rsid w:val="00BD2629"/>
    <w:rsid w:val="00BD267F"/>
    <w:rsid w:val="00BD354C"/>
    <w:rsid w:val="00BD6E9C"/>
    <w:rsid w:val="00BE0E92"/>
    <w:rsid w:val="00BE2EB9"/>
    <w:rsid w:val="00BE4700"/>
    <w:rsid w:val="00BE501E"/>
    <w:rsid w:val="00BE7919"/>
    <w:rsid w:val="00BF0989"/>
    <w:rsid w:val="00BF5C15"/>
    <w:rsid w:val="00BF63DC"/>
    <w:rsid w:val="00C010E9"/>
    <w:rsid w:val="00C0291B"/>
    <w:rsid w:val="00C05B5A"/>
    <w:rsid w:val="00C0617F"/>
    <w:rsid w:val="00C06A89"/>
    <w:rsid w:val="00C07079"/>
    <w:rsid w:val="00C07683"/>
    <w:rsid w:val="00C14349"/>
    <w:rsid w:val="00C2331A"/>
    <w:rsid w:val="00C25F09"/>
    <w:rsid w:val="00C26B51"/>
    <w:rsid w:val="00C26BAE"/>
    <w:rsid w:val="00C31170"/>
    <w:rsid w:val="00C335CC"/>
    <w:rsid w:val="00C3681B"/>
    <w:rsid w:val="00C41C60"/>
    <w:rsid w:val="00C4213C"/>
    <w:rsid w:val="00C42660"/>
    <w:rsid w:val="00C44DC6"/>
    <w:rsid w:val="00C457F6"/>
    <w:rsid w:val="00C46E34"/>
    <w:rsid w:val="00C478E2"/>
    <w:rsid w:val="00C507FB"/>
    <w:rsid w:val="00C575F2"/>
    <w:rsid w:val="00C57EBF"/>
    <w:rsid w:val="00C60E27"/>
    <w:rsid w:val="00C613D8"/>
    <w:rsid w:val="00C61BE8"/>
    <w:rsid w:val="00C620E8"/>
    <w:rsid w:val="00C64623"/>
    <w:rsid w:val="00C64EDC"/>
    <w:rsid w:val="00C71407"/>
    <w:rsid w:val="00C729D4"/>
    <w:rsid w:val="00C7327D"/>
    <w:rsid w:val="00C81346"/>
    <w:rsid w:val="00C81C2E"/>
    <w:rsid w:val="00C827DD"/>
    <w:rsid w:val="00C831EB"/>
    <w:rsid w:val="00C85911"/>
    <w:rsid w:val="00C87DAE"/>
    <w:rsid w:val="00C901B7"/>
    <w:rsid w:val="00C90C87"/>
    <w:rsid w:val="00C91ABF"/>
    <w:rsid w:val="00C92808"/>
    <w:rsid w:val="00C9305A"/>
    <w:rsid w:val="00C93995"/>
    <w:rsid w:val="00C95EDE"/>
    <w:rsid w:val="00C97999"/>
    <w:rsid w:val="00CA0FC3"/>
    <w:rsid w:val="00CA3A25"/>
    <w:rsid w:val="00CA7629"/>
    <w:rsid w:val="00CB0A1F"/>
    <w:rsid w:val="00CB1FA9"/>
    <w:rsid w:val="00CB39B1"/>
    <w:rsid w:val="00CB3E9D"/>
    <w:rsid w:val="00CB7BDD"/>
    <w:rsid w:val="00CC1E36"/>
    <w:rsid w:val="00CD0878"/>
    <w:rsid w:val="00CD1BF6"/>
    <w:rsid w:val="00CD253C"/>
    <w:rsid w:val="00CD2B86"/>
    <w:rsid w:val="00CD58E0"/>
    <w:rsid w:val="00CD6C3E"/>
    <w:rsid w:val="00CD6C4A"/>
    <w:rsid w:val="00CD7B10"/>
    <w:rsid w:val="00CE19A2"/>
    <w:rsid w:val="00CE340A"/>
    <w:rsid w:val="00CE3947"/>
    <w:rsid w:val="00CE41BA"/>
    <w:rsid w:val="00CE47A7"/>
    <w:rsid w:val="00CE4D32"/>
    <w:rsid w:val="00CE526E"/>
    <w:rsid w:val="00CE61E2"/>
    <w:rsid w:val="00CE6612"/>
    <w:rsid w:val="00CE7ABE"/>
    <w:rsid w:val="00CF27BD"/>
    <w:rsid w:val="00CF3A42"/>
    <w:rsid w:val="00CF3DDC"/>
    <w:rsid w:val="00CF6874"/>
    <w:rsid w:val="00CF7F0E"/>
    <w:rsid w:val="00D009FC"/>
    <w:rsid w:val="00D03B0B"/>
    <w:rsid w:val="00D043F8"/>
    <w:rsid w:val="00D04A0A"/>
    <w:rsid w:val="00D11EEA"/>
    <w:rsid w:val="00D160C7"/>
    <w:rsid w:val="00D17D04"/>
    <w:rsid w:val="00D210E2"/>
    <w:rsid w:val="00D23290"/>
    <w:rsid w:val="00D23369"/>
    <w:rsid w:val="00D24BDC"/>
    <w:rsid w:val="00D27FB4"/>
    <w:rsid w:val="00D30DA2"/>
    <w:rsid w:val="00D32635"/>
    <w:rsid w:val="00D3344B"/>
    <w:rsid w:val="00D33E82"/>
    <w:rsid w:val="00D344D3"/>
    <w:rsid w:val="00D3489C"/>
    <w:rsid w:val="00D34F2D"/>
    <w:rsid w:val="00D41795"/>
    <w:rsid w:val="00D42D16"/>
    <w:rsid w:val="00D44A3B"/>
    <w:rsid w:val="00D45765"/>
    <w:rsid w:val="00D46A5B"/>
    <w:rsid w:val="00D51399"/>
    <w:rsid w:val="00D51656"/>
    <w:rsid w:val="00D54FF9"/>
    <w:rsid w:val="00D572DC"/>
    <w:rsid w:val="00D57DC1"/>
    <w:rsid w:val="00D65C13"/>
    <w:rsid w:val="00D7125F"/>
    <w:rsid w:val="00D72AF0"/>
    <w:rsid w:val="00D813BD"/>
    <w:rsid w:val="00D83116"/>
    <w:rsid w:val="00D838DD"/>
    <w:rsid w:val="00D84562"/>
    <w:rsid w:val="00D86681"/>
    <w:rsid w:val="00D95350"/>
    <w:rsid w:val="00D958B8"/>
    <w:rsid w:val="00D96443"/>
    <w:rsid w:val="00D977E4"/>
    <w:rsid w:val="00DA2919"/>
    <w:rsid w:val="00DA2E95"/>
    <w:rsid w:val="00DA5AAA"/>
    <w:rsid w:val="00DA6195"/>
    <w:rsid w:val="00DB25CC"/>
    <w:rsid w:val="00DB3E27"/>
    <w:rsid w:val="00DC3E39"/>
    <w:rsid w:val="00DC3F28"/>
    <w:rsid w:val="00DC4A6A"/>
    <w:rsid w:val="00DC56D5"/>
    <w:rsid w:val="00DC5A27"/>
    <w:rsid w:val="00DC6D3B"/>
    <w:rsid w:val="00DC7030"/>
    <w:rsid w:val="00DD597E"/>
    <w:rsid w:val="00DD62CA"/>
    <w:rsid w:val="00DD70A3"/>
    <w:rsid w:val="00DE32CF"/>
    <w:rsid w:val="00DE60E7"/>
    <w:rsid w:val="00DE7EDD"/>
    <w:rsid w:val="00DF3842"/>
    <w:rsid w:val="00DF411E"/>
    <w:rsid w:val="00DF5A7C"/>
    <w:rsid w:val="00E02CDD"/>
    <w:rsid w:val="00E054E2"/>
    <w:rsid w:val="00E07CCF"/>
    <w:rsid w:val="00E133A9"/>
    <w:rsid w:val="00E13AE0"/>
    <w:rsid w:val="00E13BEE"/>
    <w:rsid w:val="00E1783C"/>
    <w:rsid w:val="00E201C4"/>
    <w:rsid w:val="00E20A15"/>
    <w:rsid w:val="00E216B1"/>
    <w:rsid w:val="00E218E8"/>
    <w:rsid w:val="00E22920"/>
    <w:rsid w:val="00E27530"/>
    <w:rsid w:val="00E277CB"/>
    <w:rsid w:val="00E33CE4"/>
    <w:rsid w:val="00E340B7"/>
    <w:rsid w:val="00E35432"/>
    <w:rsid w:val="00E36573"/>
    <w:rsid w:val="00E3659A"/>
    <w:rsid w:val="00E37370"/>
    <w:rsid w:val="00E378D4"/>
    <w:rsid w:val="00E40DBB"/>
    <w:rsid w:val="00E46969"/>
    <w:rsid w:val="00E47182"/>
    <w:rsid w:val="00E51EEB"/>
    <w:rsid w:val="00E53D1F"/>
    <w:rsid w:val="00E546D1"/>
    <w:rsid w:val="00E55A97"/>
    <w:rsid w:val="00E6119C"/>
    <w:rsid w:val="00E6202F"/>
    <w:rsid w:val="00E648BD"/>
    <w:rsid w:val="00E650D1"/>
    <w:rsid w:val="00E652B1"/>
    <w:rsid w:val="00E735C0"/>
    <w:rsid w:val="00E75C3B"/>
    <w:rsid w:val="00E82998"/>
    <w:rsid w:val="00E87717"/>
    <w:rsid w:val="00E92017"/>
    <w:rsid w:val="00E926DA"/>
    <w:rsid w:val="00E94FE4"/>
    <w:rsid w:val="00E962F1"/>
    <w:rsid w:val="00E96F97"/>
    <w:rsid w:val="00E97A62"/>
    <w:rsid w:val="00EA0817"/>
    <w:rsid w:val="00EA1440"/>
    <w:rsid w:val="00EA2B6A"/>
    <w:rsid w:val="00EA322F"/>
    <w:rsid w:val="00EA67F6"/>
    <w:rsid w:val="00EB1EFD"/>
    <w:rsid w:val="00EB1FB8"/>
    <w:rsid w:val="00EB293B"/>
    <w:rsid w:val="00EB2B42"/>
    <w:rsid w:val="00EB48D2"/>
    <w:rsid w:val="00EB5B87"/>
    <w:rsid w:val="00EB64A5"/>
    <w:rsid w:val="00EC52DC"/>
    <w:rsid w:val="00ED0EB5"/>
    <w:rsid w:val="00ED73D1"/>
    <w:rsid w:val="00EF1843"/>
    <w:rsid w:val="00EF5273"/>
    <w:rsid w:val="00EF7150"/>
    <w:rsid w:val="00EF770E"/>
    <w:rsid w:val="00F05A41"/>
    <w:rsid w:val="00F06147"/>
    <w:rsid w:val="00F100FA"/>
    <w:rsid w:val="00F13800"/>
    <w:rsid w:val="00F14B7B"/>
    <w:rsid w:val="00F15589"/>
    <w:rsid w:val="00F15FAF"/>
    <w:rsid w:val="00F167AF"/>
    <w:rsid w:val="00F16ABC"/>
    <w:rsid w:val="00F17D10"/>
    <w:rsid w:val="00F20016"/>
    <w:rsid w:val="00F2041E"/>
    <w:rsid w:val="00F232F8"/>
    <w:rsid w:val="00F2356F"/>
    <w:rsid w:val="00F2506A"/>
    <w:rsid w:val="00F25546"/>
    <w:rsid w:val="00F3264C"/>
    <w:rsid w:val="00F344DE"/>
    <w:rsid w:val="00F363DC"/>
    <w:rsid w:val="00F3771C"/>
    <w:rsid w:val="00F41212"/>
    <w:rsid w:val="00F448D4"/>
    <w:rsid w:val="00F452CC"/>
    <w:rsid w:val="00F538F0"/>
    <w:rsid w:val="00F54D45"/>
    <w:rsid w:val="00F57407"/>
    <w:rsid w:val="00F574D1"/>
    <w:rsid w:val="00F612B5"/>
    <w:rsid w:val="00F637CC"/>
    <w:rsid w:val="00F64135"/>
    <w:rsid w:val="00F71276"/>
    <w:rsid w:val="00F71A05"/>
    <w:rsid w:val="00F8026C"/>
    <w:rsid w:val="00F8140E"/>
    <w:rsid w:val="00F83B55"/>
    <w:rsid w:val="00F84C25"/>
    <w:rsid w:val="00F86FB0"/>
    <w:rsid w:val="00F93BE3"/>
    <w:rsid w:val="00F94989"/>
    <w:rsid w:val="00F96315"/>
    <w:rsid w:val="00FA0636"/>
    <w:rsid w:val="00FA41CA"/>
    <w:rsid w:val="00FA4CC5"/>
    <w:rsid w:val="00FA7E60"/>
    <w:rsid w:val="00FB0002"/>
    <w:rsid w:val="00FB60AB"/>
    <w:rsid w:val="00FB6EE2"/>
    <w:rsid w:val="00FB70BE"/>
    <w:rsid w:val="00FB7C16"/>
    <w:rsid w:val="00FC060E"/>
    <w:rsid w:val="00FC1E86"/>
    <w:rsid w:val="00FC5B18"/>
    <w:rsid w:val="00FC694F"/>
    <w:rsid w:val="00FD4116"/>
    <w:rsid w:val="00FD5F48"/>
    <w:rsid w:val="00FE347F"/>
    <w:rsid w:val="00FE7C60"/>
    <w:rsid w:val="00FF17F7"/>
    <w:rsid w:val="00FF3187"/>
    <w:rsid w:val="00FF5165"/>
    <w:rsid w:val="00FF5FCD"/>
    <w:rsid w:val="00FF7C4C"/>
    <w:rsid w:val="01DC242A"/>
    <w:rsid w:val="02112E38"/>
    <w:rsid w:val="021F5C8B"/>
    <w:rsid w:val="0230292B"/>
    <w:rsid w:val="026B4A97"/>
    <w:rsid w:val="026E015B"/>
    <w:rsid w:val="03180987"/>
    <w:rsid w:val="036C6CC9"/>
    <w:rsid w:val="03773242"/>
    <w:rsid w:val="03B044E9"/>
    <w:rsid w:val="040C4FDB"/>
    <w:rsid w:val="04535BB2"/>
    <w:rsid w:val="04576728"/>
    <w:rsid w:val="05661BB9"/>
    <w:rsid w:val="05846BD3"/>
    <w:rsid w:val="05DC520B"/>
    <w:rsid w:val="065142C3"/>
    <w:rsid w:val="06B23478"/>
    <w:rsid w:val="06D05560"/>
    <w:rsid w:val="071E07B6"/>
    <w:rsid w:val="07556E3C"/>
    <w:rsid w:val="07660089"/>
    <w:rsid w:val="078B003B"/>
    <w:rsid w:val="07B771DE"/>
    <w:rsid w:val="082F1679"/>
    <w:rsid w:val="084F6B55"/>
    <w:rsid w:val="0915074C"/>
    <w:rsid w:val="09B3521F"/>
    <w:rsid w:val="0A3A287B"/>
    <w:rsid w:val="0B547737"/>
    <w:rsid w:val="0B993796"/>
    <w:rsid w:val="0B9E1BB4"/>
    <w:rsid w:val="0C094E61"/>
    <w:rsid w:val="0C1B3F78"/>
    <w:rsid w:val="0CF40C43"/>
    <w:rsid w:val="0D25311A"/>
    <w:rsid w:val="0DB33C17"/>
    <w:rsid w:val="0DF00B6E"/>
    <w:rsid w:val="0E294EF3"/>
    <w:rsid w:val="0F257E18"/>
    <w:rsid w:val="0F272DED"/>
    <w:rsid w:val="0F291956"/>
    <w:rsid w:val="0F4C19E9"/>
    <w:rsid w:val="10313216"/>
    <w:rsid w:val="11442050"/>
    <w:rsid w:val="11C21651"/>
    <w:rsid w:val="11DF4B2C"/>
    <w:rsid w:val="126C07E8"/>
    <w:rsid w:val="12ED17DC"/>
    <w:rsid w:val="13E04B4D"/>
    <w:rsid w:val="13E56BA3"/>
    <w:rsid w:val="13FA1996"/>
    <w:rsid w:val="1400317E"/>
    <w:rsid w:val="148E7A23"/>
    <w:rsid w:val="14965425"/>
    <w:rsid w:val="149B77C9"/>
    <w:rsid w:val="14C96544"/>
    <w:rsid w:val="156A4050"/>
    <w:rsid w:val="157C0B72"/>
    <w:rsid w:val="15887747"/>
    <w:rsid w:val="15AF7D4C"/>
    <w:rsid w:val="1646420B"/>
    <w:rsid w:val="175725FC"/>
    <w:rsid w:val="1768410D"/>
    <w:rsid w:val="179D66F3"/>
    <w:rsid w:val="17E6258E"/>
    <w:rsid w:val="189875CC"/>
    <w:rsid w:val="18C7632B"/>
    <w:rsid w:val="193F3B4D"/>
    <w:rsid w:val="19404CBF"/>
    <w:rsid w:val="19A12139"/>
    <w:rsid w:val="1AE84D30"/>
    <w:rsid w:val="1BE86D32"/>
    <w:rsid w:val="1CD37009"/>
    <w:rsid w:val="1D0406D2"/>
    <w:rsid w:val="1D2D1C65"/>
    <w:rsid w:val="1D520517"/>
    <w:rsid w:val="1DAF6EC0"/>
    <w:rsid w:val="1DC1438E"/>
    <w:rsid w:val="1E175CAC"/>
    <w:rsid w:val="1E1A5F81"/>
    <w:rsid w:val="1E5D1C3C"/>
    <w:rsid w:val="1FAE05DA"/>
    <w:rsid w:val="203F56EE"/>
    <w:rsid w:val="20826825"/>
    <w:rsid w:val="20970BE0"/>
    <w:rsid w:val="20E86A97"/>
    <w:rsid w:val="213D638E"/>
    <w:rsid w:val="216A5964"/>
    <w:rsid w:val="21A52BB1"/>
    <w:rsid w:val="21A904E0"/>
    <w:rsid w:val="21C30A5C"/>
    <w:rsid w:val="22077C29"/>
    <w:rsid w:val="22476D34"/>
    <w:rsid w:val="22847CD6"/>
    <w:rsid w:val="228F4ADC"/>
    <w:rsid w:val="22EE16BA"/>
    <w:rsid w:val="230874DE"/>
    <w:rsid w:val="23C91659"/>
    <w:rsid w:val="2471637E"/>
    <w:rsid w:val="248852C7"/>
    <w:rsid w:val="24FB72AB"/>
    <w:rsid w:val="2604560D"/>
    <w:rsid w:val="265672D2"/>
    <w:rsid w:val="26CD7E15"/>
    <w:rsid w:val="275A40D0"/>
    <w:rsid w:val="27B8198B"/>
    <w:rsid w:val="28770AA5"/>
    <w:rsid w:val="288A2F22"/>
    <w:rsid w:val="28B625D3"/>
    <w:rsid w:val="291E06FA"/>
    <w:rsid w:val="294807F7"/>
    <w:rsid w:val="2A1D2893"/>
    <w:rsid w:val="2A440E4D"/>
    <w:rsid w:val="2A5B0921"/>
    <w:rsid w:val="2A6E05E9"/>
    <w:rsid w:val="2A9A0FDA"/>
    <w:rsid w:val="2B2E38AA"/>
    <w:rsid w:val="2B38739B"/>
    <w:rsid w:val="2B5255D3"/>
    <w:rsid w:val="2B901A3B"/>
    <w:rsid w:val="2BA462F2"/>
    <w:rsid w:val="2C156832"/>
    <w:rsid w:val="2C6579A7"/>
    <w:rsid w:val="2CB42347"/>
    <w:rsid w:val="2DAF39B9"/>
    <w:rsid w:val="2DB6728A"/>
    <w:rsid w:val="2DC31283"/>
    <w:rsid w:val="2E6324BA"/>
    <w:rsid w:val="2EAC103C"/>
    <w:rsid w:val="2F300ED8"/>
    <w:rsid w:val="2FC747A9"/>
    <w:rsid w:val="2FF7174E"/>
    <w:rsid w:val="300B5C31"/>
    <w:rsid w:val="30337EFC"/>
    <w:rsid w:val="305F0DEA"/>
    <w:rsid w:val="314A69E3"/>
    <w:rsid w:val="31691795"/>
    <w:rsid w:val="31B14034"/>
    <w:rsid w:val="324B4CCB"/>
    <w:rsid w:val="327C09C7"/>
    <w:rsid w:val="34F16DFC"/>
    <w:rsid w:val="352E3323"/>
    <w:rsid w:val="35936E66"/>
    <w:rsid w:val="35B77FAE"/>
    <w:rsid w:val="36133099"/>
    <w:rsid w:val="362B338C"/>
    <w:rsid w:val="366C539A"/>
    <w:rsid w:val="367E7DE2"/>
    <w:rsid w:val="36F562BF"/>
    <w:rsid w:val="36FD34BB"/>
    <w:rsid w:val="373750CD"/>
    <w:rsid w:val="37527962"/>
    <w:rsid w:val="37541E8A"/>
    <w:rsid w:val="375A752B"/>
    <w:rsid w:val="378B03EC"/>
    <w:rsid w:val="378E32FF"/>
    <w:rsid w:val="38192D1A"/>
    <w:rsid w:val="38202C90"/>
    <w:rsid w:val="387C2A12"/>
    <w:rsid w:val="38A80404"/>
    <w:rsid w:val="38B01E4E"/>
    <w:rsid w:val="39206650"/>
    <w:rsid w:val="39B60BEA"/>
    <w:rsid w:val="39D5272A"/>
    <w:rsid w:val="3A466735"/>
    <w:rsid w:val="3ABD5AB2"/>
    <w:rsid w:val="3B673209"/>
    <w:rsid w:val="3B8235F2"/>
    <w:rsid w:val="3D4B60AF"/>
    <w:rsid w:val="3D566A43"/>
    <w:rsid w:val="3DEC401E"/>
    <w:rsid w:val="3E2E4E60"/>
    <w:rsid w:val="3E373024"/>
    <w:rsid w:val="3F416EDF"/>
    <w:rsid w:val="3FAD4D57"/>
    <w:rsid w:val="3FB84693"/>
    <w:rsid w:val="3FC265CB"/>
    <w:rsid w:val="3FCE4D00"/>
    <w:rsid w:val="40880323"/>
    <w:rsid w:val="40ED2901"/>
    <w:rsid w:val="411505BF"/>
    <w:rsid w:val="41500930"/>
    <w:rsid w:val="415343E2"/>
    <w:rsid w:val="426070B5"/>
    <w:rsid w:val="42FE4E0D"/>
    <w:rsid w:val="43EA25E9"/>
    <w:rsid w:val="44393288"/>
    <w:rsid w:val="445626E7"/>
    <w:rsid w:val="44AA3D0F"/>
    <w:rsid w:val="44D000CF"/>
    <w:rsid w:val="44D34432"/>
    <w:rsid w:val="453E7F75"/>
    <w:rsid w:val="453F369D"/>
    <w:rsid w:val="467E0509"/>
    <w:rsid w:val="473559BC"/>
    <w:rsid w:val="474468A6"/>
    <w:rsid w:val="48AB7D9E"/>
    <w:rsid w:val="490D5AAD"/>
    <w:rsid w:val="49670052"/>
    <w:rsid w:val="4AC31A72"/>
    <w:rsid w:val="4B342F15"/>
    <w:rsid w:val="4BC65A10"/>
    <w:rsid w:val="4BD10347"/>
    <w:rsid w:val="4DAE2024"/>
    <w:rsid w:val="4DC26F8B"/>
    <w:rsid w:val="4EA7095F"/>
    <w:rsid w:val="4F226CF1"/>
    <w:rsid w:val="4F251457"/>
    <w:rsid w:val="4F3D1DF5"/>
    <w:rsid w:val="4F4F2290"/>
    <w:rsid w:val="50466F08"/>
    <w:rsid w:val="509B36E6"/>
    <w:rsid w:val="50C4236F"/>
    <w:rsid w:val="51FF4BE9"/>
    <w:rsid w:val="524E00BF"/>
    <w:rsid w:val="526C3C33"/>
    <w:rsid w:val="539F4932"/>
    <w:rsid w:val="545C25D8"/>
    <w:rsid w:val="54A14426"/>
    <w:rsid w:val="550814B3"/>
    <w:rsid w:val="551E1A1E"/>
    <w:rsid w:val="55CD0992"/>
    <w:rsid w:val="5693223A"/>
    <w:rsid w:val="569E5025"/>
    <w:rsid w:val="56D46A8B"/>
    <w:rsid w:val="57D51C4C"/>
    <w:rsid w:val="580B2312"/>
    <w:rsid w:val="5A0416C7"/>
    <w:rsid w:val="5A313EDE"/>
    <w:rsid w:val="5A85626D"/>
    <w:rsid w:val="5BB86672"/>
    <w:rsid w:val="5BBD56BB"/>
    <w:rsid w:val="5BEC3929"/>
    <w:rsid w:val="5DB070CA"/>
    <w:rsid w:val="5E033F4E"/>
    <w:rsid w:val="5E7A3609"/>
    <w:rsid w:val="5ECB6DB0"/>
    <w:rsid w:val="5F6D2B7C"/>
    <w:rsid w:val="5FAD0248"/>
    <w:rsid w:val="6054377E"/>
    <w:rsid w:val="608D2F0B"/>
    <w:rsid w:val="6199144C"/>
    <w:rsid w:val="61EB6CC5"/>
    <w:rsid w:val="62F661D2"/>
    <w:rsid w:val="646F1661"/>
    <w:rsid w:val="64B14AB9"/>
    <w:rsid w:val="650C13E8"/>
    <w:rsid w:val="65B22FF9"/>
    <w:rsid w:val="65F33852"/>
    <w:rsid w:val="66326DDF"/>
    <w:rsid w:val="66607B00"/>
    <w:rsid w:val="66FC24B7"/>
    <w:rsid w:val="675B5E96"/>
    <w:rsid w:val="67C87256"/>
    <w:rsid w:val="67E3180A"/>
    <w:rsid w:val="69B20968"/>
    <w:rsid w:val="69FD609B"/>
    <w:rsid w:val="6AE50EA0"/>
    <w:rsid w:val="6B6D0B97"/>
    <w:rsid w:val="6BA84ABE"/>
    <w:rsid w:val="6BAD76A1"/>
    <w:rsid w:val="6BE930A2"/>
    <w:rsid w:val="6C371734"/>
    <w:rsid w:val="6C69058D"/>
    <w:rsid w:val="6CA80D91"/>
    <w:rsid w:val="6D3205B6"/>
    <w:rsid w:val="6D567644"/>
    <w:rsid w:val="6D7F278A"/>
    <w:rsid w:val="6DC673D3"/>
    <w:rsid w:val="6E44215B"/>
    <w:rsid w:val="6E6D55CB"/>
    <w:rsid w:val="6F284839"/>
    <w:rsid w:val="6F871DEB"/>
    <w:rsid w:val="6FB245F0"/>
    <w:rsid w:val="700B7975"/>
    <w:rsid w:val="705E5BD8"/>
    <w:rsid w:val="708E6798"/>
    <w:rsid w:val="713E7321"/>
    <w:rsid w:val="718408D2"/>
    <w:rsid w:val="72EC3491"/>
    <w:rsid w:val="72FE44C5"/>
    <w:rsid w:val="730E1475"/>
    <w:rsid w:val="7326508F"/>
    <w:rsid w:val="733A3999"/>
    <w:rsid w:val="73802C5F"/>
    <w:rsid w:val="742B3A35"/>
    <w:rsid w:val="74BE539F"/>
    <w:rsid w:val="74C26C62"/>
    <w:rsid w:val="767F38B3"/>
    <w:rsid w:val="76FE65AD"/>
    <w:rsid w:val="773B1FCA"/>
    <w:rsid w:val="78291A66"/>
    <w:rsid w:val="7ACA0D19"/>
    <w:rsid w:val="7AFF59C6"/>
    <w:rsid w:val="7B011809"/>
    <w:rsid w:val="7B162500"/>
    <w:rsid w:val="7C2E0565"/>
    <w:rsid w:val="7CAE485D"/>
    <w:rsid w:val="7D721FA0"/>
    <w:rsid w:val="7D8C7F31"/>
    <w:rsid w:val="7DA0371D"/>
    <w:rsid w:val="7DCB1ACB"/>
    <w:rsid w:val="7DEF35E0"/>
    <w:rsid w:val="7E161983"/>
    <w:rsid w:val="7E447D1A"/>
    <w:rsid w:val="7EB62E15"/>
    <w:rsid w:val="7F0331F9"/>
    <w:rsid w:val="7F0369D8"/>
    <w:rsid w:val="7F74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iPriority="0" w:name="index 1"/>
    <w:lsdException w:qFormat="1"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0" w:name="table of authorities"/>
    <w:lsdException w:uiPriority="0" w:name="macro"/>
    <w:lsdException w:uiPriority="0" w:name="toa heading"/>
    <w:lsdException w:qFormat="1" w:uiPriority="0" w:name="List"/>
    <w:lsdException w:uiPriority="0" w:name="List Bullet"/>
    <w:lsdException w:unhideWhenUsed="0" w:uiPriority="0" w:semiHidden="0" w:name="List Number"/>
    <w:lsdException w:qFormat="1"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iPriority="22" w:semiHidden="0" w:name="Strong"/>
    <w:lsdException w:qFormat="1"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semiHidden="0" w:name="Quote"/>
    <w:lsdException w:qFormat="1"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6"/>
    <w:qFormat/>
    <w:uiPriority w:val="9"/>
    <w:pPr>
      <w:keepNext/>
      <w:keepLines/>
      <w:spacing w:before="340" w:after="330" w:line="578" w:lineRule="auto"/>
      <w:outlineLvl w:val="0"/>
    </w:pPr>
    <w:rPr>
      <w:b/>
      <w:bCs/>
      <w:kern w:val="44"/>
      <w:sz w:val="44"/>
      <w:szCs w:val="44"/>
    </w:rPr>
  </w:style>
  <w:style w:type="paragraph" w:styleId="5">
    <w:name w:val="heading 2"/>
    <w:basedOn w:val="1"/>
    <w:next w:val="6"/>
    <w:link w:val="64"/>
    <w:qFormat/>
    <w:uiPriority w:val="9"/>
    <w:pPr>
      <w:keepNext/>
      <w:keepLines/>
      <w:spacing w:before="260" w:after="260" w:line="415" w:lineRule="auto"/>
      <w:outlineLvl w:val="1"/>
    </w:pPr>
    <w:rPr>
      <w:rFonts w:ascii="Arial" w:hAnsi="Arial" w:eastAsia="黑体"/>
      <w:b/>
      <w:sz w:val="32"/>
      <w:szCs w:val="20"/>
    </w:rPr>
  </w:style>
  <w:style w:type="paragraph" w:styleId="7">
    <w:name w:val="heading 3"/>
    <w:basedOn w:val="1"/>
    <w:next w:val="1"/>
    <w:link w:val="86"/>
    <w:qFormat/>
    <w:uiPriority w:val="9"/>
    <w:pPr>
      <w:keepNext/>
      <w:keepLines/>
      <w:tabs>
        <w:tab w:val="left" w:pos="1674"/>
      </w:tabs>
      <w:spacing w:line="440" w:lineRule="exact"/>
      <w:ind w:left="105" w:leftChars="50" w:right="105" w:rightChars="50"/>
      <w:jc w:val="left"/>
      <w:outlineLvl w:val="2"/>
    </w:pPr>
    <w:rPr>
      <w:rFonts w:ascii="宋体" w:hAnsi="宋体"/>
      <w:bCs/>
      <w:sz w:val="24"/>
    </w:rPr>
  </w:style>
  <w:style w:type="paragraph" w:styleId="8">
    <w:name w:val="heading 4"/>
    <w:basedOn w:val="1"/>
    <w:next w:val="1"/>
    <w:link w:val="96"/>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6"/>
    <w:link w:val="75"/>
    <w:qFormat/>
    <w:uiPriority w:val="9"/>
    <w:pPr>
      <w:keepNext/>
      <w:tabs>
        <w:tab w:val="left" w:pos="-1710"/>
        <w:tab w:val="left" w:pos="-1440"/>
      </w:tabs>
      <w:spacing w:line="440" w:lineRule="exact"/>
      <w:ind w:left="480"/>
      <w:jc w:val="center"/>
      <w:outlineLvl w:val="4"/>
    </w:pPr>
    <w:rPr>
      <w:b/>
      <w:sz w:val="24"/>
      <w:szCs w:val="20"/>
    </w:rPr>
  </w:style>
  <w:style w:type="paragraph" w:styleId="10">
    <w:name w:val="heading 6"/>
    <w:basedOn w:val="1"/>
    <w:next w:val="6"/>
    <w:link w:val="76"/>
    <w:qFormat/>
    <w:uiPriority w:val="9"/>
    <w:pPr>
      <w:keepNext/>
      <w:outlineLvl w:val="5"/>
    </w:pPr>
    <w:rPr>
      <w:sz w:val="28"/>
      <w:szCs w:val="20"/>
    </w:rPr>
  </w:style>
  <w:style w:type="paragraph" w:styleId="11">
    <w:name w:val="heading 7"/>
    <w:basedOn w:val="1"/>
    <w:next w:val="1"/>
    <w:link w:val="87"/>
    <w:semiHidden/>
    <w:unhideWhenUsed/>
    <w:qFormat/>
    <w:uiPriority w:val="9"/>
    <w:pPr>
      <w:keepNext/>
      <w:keepLines/>
      <w:adjustRightInd w:val="0"/>
      <w:snapToGrid w:val="0"/>
      <w:spacing w:before="200" w:line="360" w:lineRule="auto"/>
      <w:ind w:firstLine="200" w:firstLineChars="200"/>
      <w:outlineLvl w:val="6"/>
    </w:pPr>
    <w:rPr>
      <w:rFonts w:ascii="Cambria" w:hAnsi="Cambria"/>
      <w:i/>
      <w:iCs/>
      <w:color w:val="404040"/>
      <w:kern w:val="0"/>
      <w:szCs w:val="22"/>
    </w:rPr>
  </w:style>
  <w:style w:type="paragraph" w:styleId="12">
    <w:name w:val="heading 8"/>
    <w:basedOn w:val="1"/>
    <w:next w:val="1"/>
    <w:link w:val="88"/>
    <w:semiHidden/>
    <w:unhideWhenUsed/>
    <w:qFormat/>
    <w:uiPriority w:val="9"/>
    <w:pPr>
      <w:keepNext/>
      <w:keepLines/>
      <w:adjustRightInd w:val="0"/>
      <w:snapToGrid w:val="0"/>
      <w:spacing w:before="200" w:line="360" w:lineRule="auto"/>
      <w:ind w:firstLine="200" w:firstLineChars="200"/>
      <w:outlineLvl w:val="7"/>
    </w:pPr>
    <w:rPr>
      <w:rFonts w:ascii="Cambria" w:hAnsi="Cambria"/>
      <w:color w:val="4F81BD"/>
      <w:kern w:val="0"/>
      <w:sz w:val="20"/>
      <w:szCs w:val="20"/>
    </w:rPr>
  </w:style>
  <w:style w:type="paragraph" w:styleId="13">
    <w:name w:val="heading 9"/>
    <w:basedOn w:val="1"/>
    <w:next w:val="1"/>
    <w:link w:val="89"/>
    <w:semiHidden/>
    <w:unhideWhenUsed/>
    <w:qFormat/>
    <w:uiPriority w:val="9"/>
    <w:pPr>
      <w:keepNext/>
      <w:keepLines/>
      <w:adjustRightInd w:val="0"/>
      <w:snapToGrid w:val="0"/>
      <w:spacing w:before="200" w:line="360" w:lineRule="auto"/>
      <w:ind w:firstLine="200" w:firstLineChars="200"/>
      <w:outlineLvl w:val="8"/>
    </w:pPr>
    <w:rPr>
      <w:rFonts w:ascii="Cambria" w:hAnsi="Cambria"/>
      <w:i/>
      <w:iCs/>
      <w:color w:val="404040"/>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Chars="0" w:firstLine="420"/>
    </w:pPr>
  </w:style>
  <w:style w:type="paragraph" w:styleId="3">
    <w:name w:val="Body Text Indent"/>
    <w:basedOn w:val="1"/>
    <w:link w:val="100"/>
    <w:qFormat/>
    <w:uiPriority w:val="0"/>
    <w:pPr>
      <w:spacing w:line="520" w:lineRule="exact"/>
      <w:ind w:firstLine="549" w:firstLineChars="200"/>
    </w:pPr>
    <w:rPr>
      <w:rFonts w:ascii="宋体"/>
      <w:color w:val="FF00FF"/>
      <w:sz w:val="28"/>
      <w:szCs w:val="20"/>
    </w:rPr>
  </w:style>
  <w:style w:type="paragraph" w:styleId="6">
    <w:name w:val="Normal Indent"/>
    <w:basedOn w:val="1"/>
    <w:link w:val="85"/>
    <w:qFormat/>
    <w:uiPriority w:val="0"/>
    <w:pPr>
      <w:ind w:firstLine="420" w:firstLineChars="200"/>
    </w:p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1260"/>
      <w:jc w:val="left"/>
    </w:pPr>
    <w:rPr>
      <w:sz w:val="18"/>
      <w:szCs w:val="18"/>
    </w:rPr>
  </w:style>
  <w:style w:type="paragraph" w:styleId="16">
    <w:name w:val="caption"/>
    <w:basedOn w:val="1"/>
    <w:next w:val="1"/>
    <w:semiHidden/>
    <w:unhideWhenUsed/>
    <w:qFormat/>
    <w:uiPriority w:val="35"/>
    <w:pPr>
      <w:adjustRightInd w:val="0"/>
      <w:snapToGrid w:val="0"/>
      <w:ind w:firstLine="200" w:firstLineChars="200"/>
    </w:pPr>
    <w:rPr>
      <w:b/>
      <w:bCs/>
      <w:color w:val="4F81BD"/>
      <w:kern w:val="0"/>
      <w:sz w:val="18"/>
      <w:szCs w:val="18"/>
    </w:rPr>
  </w:style>
  <w:style w:type="paragraph" w:styleId="17">
    <w:name w:val="Document Map"/>
    <w:basedOn w:val="1"/>
    <w:link w:val="77"/>
    <w:qFormat/>
    <w:uiPriority w:val="0"/>
    <w:pPr>
      <w:shd w:val="clear" w:color="auto" w:fill="000080"/>
    </w:pPr>
    <w:rPr>
      <w:szCs w:val="20"/>
    </w:rPr>
  </w:style>
  <w:style w:type="paragraph" w:styleId="18">
    <w:name w:val="annotation text"/>
    <w:basedOn w:val="1"/>
    <w:link w:val="90"/>
    <w:semiHidden/>
    <w:unhideWhenUsed/>
    <w:qFormat/>
    <w:uiPriority w:val="0"/>
    <w:pPr>
      <w:adjustRightInd w:val="0"/>
      <w:snapToGrid w:val="0"/>
      <w:spacing w:line="360" w:lineRule="auto"/>
      <w:ind w:firstLine="200" w:firstLineChars="200"/>
      <w:jc w:val="left"/>
    </w:pPr>
    <w:rPr>
      <w:kern w:val="0"/>
      <w:szCs w:val="22"/>
    </w:rPr>
  </w:style>
  <w:style w:type="paragraph" w:styleId="19">
    <w:name w:val="Body Text 3"/>
    <w:basedOn w:val="1"/>
    <w:link w:val="91"/>
    <w:semiHidden/>
    <w:unhideWhenUsed/>
    <w:qFormat/>
    <w:uiPriority w:val="0"/>
    <w:pPr>
      <w:adjustRightInd w:val="0"/>
      <w:snapToGrid w:val="0"/>
      <w:spacing w:line="360" w:lineRule="auto"/>
      <w:ind w:firstLine="200" w:firstLineChars="200"/>
    </w:pPr>
    <w:rPr>
      <w:rFonts w:ascii="Arial" w:hAnsi="Arial" w:eastAsia="仿宋_GB2312"/>
      <w:kern w:val="0"/>
      <w:sz w:val="24"/>
      <w:szCs w:val="22"/>
    </w:rPr>
  </w:style>
  <w:style w:type="paragraph" w:styleId="20">
    <w:name w:val="Body Text"/>
    <w:basedOn w:val="1"/>
    <w:link w:val="101"/>
    <w:qFormat/>
    <w:uiPriority w:val="0"/>
    <w:pPr>
      <w:spacing w:line="520" w:lineRule="exact"/>
    </w:pPr>
    <w:rPr>
      <w:sz w:val="28"/>
      <w:szCs w:val="20"/>
    </w:rPr>
  </w:style>
  <w:style w:type="paragraph" w:styleId="21">
    <w:name w:val="List 2"/>
    <w:basedOn w:val="1"/>
    <w:semiHidden/>
    <w:unhideWhenUsed/>
    <w:qFormat/>
    <w:uiPriority w:val="0"/>
    <w:pPr>
      <w:adjustRightInd w:val="0"/>
      <w:snapToGrid w:val="0"/>
      <w:spacing w:line="360" w:lineRule="auto"/>
      <w:ind w:left="100" w:leftChars="200" w:hanging="200" w:hangingChars="200"/>
    </w:pPr>
    <w:rPr>
      <w:rFonts w:eastAsia="仿宋_GB2312"/>
      <w:kern w:val="0"/>
      <w:sz w:val="24"/>
    </w:rPr>
  </w:style>
  <w:style w:type="paragraph" w:styleId="22">
    <w:name w:val="List Continue"/>
    <w:basedOn w:val="1"/>
    <w:semiHidden/>
    <w:unhideWhenUsed/>
    <w:qFormat/>
    <w:uiPriority w:val="0"/>
    <w:pPr>
      <w:adjustRightInd w:val="0"/>
      <w:snapToGrid w:val="0"/>
      <w:spacing w:after="120" w:line="360" w:lineRule="auto"/>
      <w:ind w:left="420" w:leftChars="200" w:firstLine="200" w:firstLineChars="200"/>
    </w:pPr>
    <w:rPr>
      <w:rFonts w:eastAsia="仿宋_GB2312"/>
      <w:kern w:val="0"/>
      <w:sz w:val="24"/>
    </w:rPr>
  </w:style>
  <w:style w:type="paragraph" w:styleId="23">
    <w:name w:val="Block Text"/>
    <w:basedOn w:val="1"/>
    <w:qFormat/>
    <w:uiPriority w:val="0"/>
    <w:pPr>
      <w:spacing w:after="120"/>
      <w:ind w:left="1440" w:leftChars="700" w:right="1440" w:rightChars="700"/>
    </w:pPr>
    <w:rPr>
      <w:szCs w:val="20"/>
    </w:rPr>
  </w:style>
  <w:style w:type="paragraph" w:styleId="24">
    <w:name w:val="toc 5"/>
    <w:basedOn w:val="1"/>
    <w:next w:val="1"/>
    <w:qFormat/>
    <w:uiPriority w:val="39"/>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Plain Text"/>
    <w:basedOn w:val="1"/>
    <w:link w:val="62"/>
    <w:qFormat/>
    <w:uiPriority w:val="0"/>
    <w:rPr>
      <w:rFonts w:ascii="宋体" w:hAnsi="Courier New" w:cs="Courier New"/>
      <w:szCs w:val="21"/>
    </w:rPr>
  </w:style>
  <w:style w:type="paragraph" w:styleId="27">
    <w:name w:val="toc 8"/>
    <w:basedOn w:val="1"/>
    <w:next w:val="1"/>
    <w:qFormat/>
    <w:uiPriority w:val="39"/>
    <w:pPr>
      <w:ind w:left="1470"/>
      <w:jc w:val="left"/>
    </w:pPr>
    <w:rPr>
      <w:sz w:val="18"/>
      <w:szCs w:val="18"/>
    </w:rPr>
  </w:style>
  <w:style w:type="paragraph" w:styleId="28">
    <w:name w:val="Date"/>
    <w:basedOn w:val="1"/>
    <w:next w:val="1"/>
    <w:link w:val="99"/>
    <w:qFormat/>
    <w:uiPriority w:val="0"/>
    <w:pPr>
      <w:widowControl/>
    </w:pPr>
    <w:rPr>
      <w:rFonts w:ascii="宋体"/>
      <w:color w:val="0000FF"/>
      <w:kern w:val="0"/>
      <w:szCs w:val="20"/>
    </w:rPr>
  </w:style>
  <w:style w:type="paragraph" w:styleId="29">
    <w:name w:val="Body Text Indent 2"/>
    <w:basedOn w:val="1"/>
    <w:link w:val="318"/>
    <w:qFormat/>
    <w:uiPriority w:val="0"/>
    <w:pPr>
      <w:spacing w:after="120" w:line="480" w:lineRule="auto"/>
      <w:ind w:left="420" w:leftChars="200"/>
    </w:pPr>
    <w:rPr>
      <w:szCs w:val="20"/>
    </w:rPr>
  </w:style>
  <w:style w:type="paragraph" w:styleId="30">
    <w:name w:val="endnote text"/>
    <w:basedOn w:val="1"/>
    <w:link w:val="92"/>
    <w:semiHidden/>
    <w:unhideWhenUsed/>
    <w:qFormat/>
    <w:uiPriority w:val="0"/>
    <w:pPr>
      <w:adjustRightInd w:val="0"/>
      <w:snapToGrid w:val="0"/>
      <w:spacing w:line="360" w:lineRule="atLeast"/>
      <w:ind w:firstLine="200" w:firstLineChars="200"/>
      <w:jc w:val="left"/>
      <w:textAlignment w:val="baseline"/>
    </w:pPr>
    <w:rPr>
      <w:kern w:val="0"/>
      <w:sz w:val="24"/>
      <w:szCs w:val="22"/>
    </w:rPr>
  </w:style>
  <w:style w:type="paragraph" w:styleId="31">
    <w:name w:val="Balloon Text"/>
    <w:basedOn w:val="1"/>
    <w:link w:val="80"/>
    <w:qFormat/>
    <w:uiPriority w:val="99"/>
    <w:rPr>
      <w:sz w:val="18"/>
      <w:szCs w:val="18"/>
    </w:rPr>
  </w:style>
  <w:style w:type="paragraph" w:styleId="32">
    <w:name w:val="footer"/>
    <w:basedOn w:val="1"/>
    <w:link w:val="102"/>
    <w:qFormat/>
    <w:uiPriority w:val="99"/>
    <w:pPr>
      <w:tabs>
        <w:tab w:val="center" w:pos="4153"/>
        <w:tab w:val="right" w:pos="8306"/>
      </w:tabs>
      <w:snapToGrid w:val="0"/>
      <w:jc w:val="left"/>
    </w:pPr>
    <w:rPr>
      <w:sz w:val="18"/>
      <w:szCs w:val="18"/>
    </w:rPr>
  </w:style>
  <w:style w:type="paragraph" w:styleId="3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b/>
      <w:bCs/>
      <w:caps/>
      <w:sz w:val="20"/>
      <w:szCs w:val="20"/>
    </w:rPr>
  </w:style>
  <w:style w:type="paragraph" w:styleId="35">
    <w:name w:val="toc 4"/>
    <w:basedOn w:val="1"/>
    <w:next w:val="1"/>
    <w:qFormat/>
    <w:uiPriority w:val="39"/>
    <w:pPr>
      <w:ind w:left="630"/>
      <w:jc w:val="left"/>
    </w:pPr>
    <w:rPr>
      <w:sz w:val="18"/>
      <w:szCs w:val="18"/>
    </w:rPr>
  </w:style>
  <w:style w:type="paragraph" w:styleId="36">
    <w:name w:val="Subtitle"/>
    <w:basedOn w:val="1"/>
    <w:next w:val="1"/>
    <w:link w:val="93"/>
    <w:unhideWhenUsed/>
    <w:qFormat/>
    <w:uiPriority w:val="11"/>
    <w:pPr>
      <w:adjustRightInd w:val="0"/>
      <w:snapToGrid w:val="0"/>
      <w:spacing w:line="360" w:lineRule="auto"/>
      <w:ind w:firstLine="200" w:firstLineChars="200"/>
    </w:pPr>
    <w:rPr>
      <w:rFonts w:ascii="Cambria" w:hAnsi="Cambria"/>
      <w:i/>
      <w:iCs/>
      <w:color w:val="4F81BD"/>
      <w:spacing w:val="15"/>
      <w:kern w:val="0"/>
      <w:sz w:val="24"/>
    </w:rPr>
  </w:style>
  <w:style w:type="paragraph" w:styleId="37">
    <w:name w:val="List"/>
    <w:basedOn w:val="1"/>
    <w:semiHidden/>
    <w:unhideWhenUsed/>
    <w:qFormat/>
    <w:uiPriority w:val="0"/>
    <w:pPr>
      <w:adjustRightInd w:val="0"/>
      <w:snapToGrid w:val="0"/>
      <w:spacing w:line="360" w:lineRule="auto"/>
      <w:ind w:left="200" w:hanging="200" w:hangingChars="200"/>
    </w:pPr>
    <w:rPr>
      <w:rFonts w:eastAsia="仿宋_GB2312"/>
      <w:kern w:val="0"/>
      <w:sz w:val="24"/>
    </w:rPr>
  </w:style>
  <w:style w:type="paragraph" w:styleId="38">
    <w:name w:val="footnote text"/>
    <w:basedOn w:val="1"/>
    <w:semiHidden/>
    <w:qFormat/>
    <w:uiPriority w:val="0"/>
    <w:pPr>
      <w:snapToGrid w:val="0"/>
      <w:jc w:val="left"/>
    </w:pPr>
    <w:rPr>
      <w:sz w:val="18"/>
      <w:szCs w:val="18"/>
    </w:rPr>
  </w:style>
  <w:style w:type="paragraph" w:styleId="39">
    <w:name w:val="toc 6"/>
    <w:basedOn w:val="1"/>
    <w:next w:val="1"/>
    <w:qFormat/>
    <w:uiPriority w:val="39"/>
    <w:pPr>
      <w:ind w:left="1050"/>
      <w:jc w:val="left"/>
    </w:pPr>
    <w:rPr>
      <w:sz w:val="18"/>
      <w:szCs w:val="18"/>
    </w:rPr>
  </w:style>
  <w:style w:type="paragraph" w:styleId="40">
    <w:name w:val="Body Text Indent 3"/>
    <w:basedOn w:val="1"/>
    <w:link w:val="81"/>
    <w:qFormat/>
    <w:uiPriority w:val="0"/>
    <w:pPr>
      <w:adjustRightInd w:val="0"/>
      <w:spacing w:line="360" w:lineRule="auto"/>
      <w:ind w:left="454"/>
      <w:textAlignment w:val="baseline"/>
    </w:pPr>
    <w:rPr>
      <w:rFonts w:ascii="宋体"/>
      <w:kern w:val="0"/>
      <w:sz w:val="24"/>
      <w:szCs w:val="20"/>
    </w:rPr>
  </w:style>
  <w:style w:type="paragraph" w:styleId="41">
    <w:name w:val="toc 2"/>
    <w:basedOn w:val="1"/>
    <w:next w:val="1"/>
    <w:qFormat/>
    <w:uiPriority w:val="39"/>
    <w:pPr>
      <w:ind w:left="210"/>
      <w:jc w:val="left"/>
    </w:pPr>
    <w:rPr>
      <w:smallCaps/>
      <w:sz w:val="20"/>
      <w:szCs w:val="20"/>
    </w:rPr>
  </w:style>
  <w:style w:type="paragraph" w:styleId="42">
    <w:name w:val="toc 9"/>
    <w:basedOn w:val="1"/>
    <w:next w:val="1"/>
    <w:qFormat/>
    <w:uiPriority w:val="39"/>
    <w:pPr>
      <w:ind w:left="1680"/>
      <w:jc w:val="left"/>
    </w:pPr>
    <w:rPr>
      <w:sz w:val="18"/>
      <w:szCs w:val="18"/>
    </w:rPr>
  </w:style>
  <w:style w:type="paragraph" w:styleId="43">
    <w:name w:val="Body Text 2"/>
    <w:basedOn w:val="1"/>
    <w:link w:val="82"/>
    <w:qFormat/>
    <w:uiPriority w:val="0"/>
    <w:pPr>
      <w:spacing w:line="220" w:lineRule="exact"/>
    </w:pPr>
    <w:rPr>
      <w:rFonts w:ascii="MS Gothic"/>
      <w:sz w:val="16"/>
      <w:szCs w:val="20"/>
    </w:rPr>
  </w:style>
  <w:style w:type="paragraph" w:styleId="44">
    <w:name w:val="HTML Preformatted"/>
    <w:basedOn w:val="1"/>
    <w:link w:val="6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ˎ̥" w:hAnsi="ˎ̥" w:cs="宋体"/>
      <w:kern w:val="0"/>
      <w:sz w:val="24"/>
    </w:rPr>
  </w:style>
  <w:style w:type="paragraph" w:styleId="46">
    <w:name w:val="index 1"/>
    <w:basedOn w:val="1"/>
    <w:next w:val="1"/>
    <w:semiHidden/>
    <w:unhideWhenUsed/>
    <w:qFormat/>
    <w:uiPriority w:val="0"/>
    <w:pPr>
      <w:adjustRightInd w:val="0"/>
      <w:snapToGrid w:val="0"/>
      <w:spacing w:line="220" w:lineRule="exact"/>
      <w:ind w:firstLine="200" w:firstLineChars="200"/>
      <w:jc w:val="center"/>
    </w:pPr>
    <w:rPr>
      <w:rFonts w:ascii="仿宋_GB2312" w:eastAsia="仿宋_GB2312"/>
      <w:kern w:val="0"/>
      <w:szCs w:val="21"/>
    </w:rPr>
  </w:style>
  <w:style w:type="paragraph" w:styleId="47">
    <w:name w:val="index 2"/>
    <w:basedOn w:val="1"/>
    <w:next w:val="1"/>
    <w:semiHidden/>
    <w:unhideWhenUsed/>
    <w:qFormat/>
    <w:uiPriority w:val="0"/>
    <w:pPr>
      <w:adjustRightInd w:val="0"/>
      <w:snapToGrid w:val="0"/>
      <w:spacing w:line="360" w:lineRule="auto"/>
      <w:ind w:left="200" w:leftChars="200" w:firstLine="200" w:firstLineChars="200"/>
    </w:pPr>
    <w:rPr>
      <w:kern w:val="0"/>
    </w:rPr>
  </w:style>
  <w:style w:type="paragraph" w:styleId="48">
    <w:name w:val="Title"/>
    <w:basedOn w:val="1"/>
    <w:next w:val="1"/>
    <w:link w:val="119"/>
    <w:qFormat/>
    <w:uiPriority w:val="10"/>
    <w:pPr>
      <w:adjustRightInd w:val="0"/>
      <w:snapToGrid w:val="0"/>
      <w:spacing w:before="120" w:after="120" w:line="520" w:lineRule="exact"/>
      <w:jc w:val="center"/>
      <w:outlineLvl w:val="0"/>
    </w:pPr>
    <w:rPr>
      <w:rFonts w:ascii="黑体" w:eastAsia="黑体"/>
      <w:snapToGrid w:val="0"/>
      <w:kern w:val="0"/>
      <w:sz w:val="28"/>
      <w:szCs w:val="20"/>
    </w:rPr>
  </w:style>
  <w:style w:type="paragraph" w:styleId="49">
    <w:name w:val="annotation subject"/>
    <w:basedOn w:val="18"/>
    <w:next w:val="18"/>
    <w:link w:val="94"/>
    <w:semiHidden/>
    <w:unhideWhenUsed/>
    <w:qFormat/>
    <w:uiPriority w:val="0"/>
    <w:rPr>
      <w:b/>
      <w:bCs/>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unhideWhenUsed/>
    <w:qFormat/>
    <w:uiPriority w:val="22"/>
    <w:rPr>
      <w:b/>
      <w:bCs/>
    </w:rPr>
  </w:style>
  <w:style w:type="character" w:styleId="54">
    <w:name w:val="page number"/>
    <w:basedOn w:val="52"/>
    <w:qFormat/>
    <w:uiPriority w:val="0"/>
  </w:style>
  <w:style w:type="character" w:styleId="55">
    <w:name w:val="FollowedHyperlink"/>
    <w:semiHidden/>
    <w:unhideWhenUsed/>
    <w:qFormat/>
    <w:uiPriority w:val="99"/>
    <w:rPr>
      <w:color w:val="800080"/>
      <w:u w:val="single"/>
    </w:rPr>
  </w:style>
  <w:style w:type="character" w:styleId="56">
    <w:name w:val="Emphasis"/>
    <w:unhideWhenUsed/>
    <w:qFormat/>
    <w:uiPriority w:val="20"/>
    <w:rPr>
      <w:i/>
      <w:iCs/>
    </w:rPr>
  </w:style>
  <w:style w:type="character" w:styleId="57">
    <w:name w:val="Hyperlink"/>
    <w:qFormat/>
    <w:uiPriority w:val="99"/>
    <w:rPr>
      <w:color w:val="0000FF"/>
      <w:u w:val="single"/>
    </w:rPr>
  </w:style>
  <w:style w:type="character" w:styleId="58">
    <w:name w:val="annotation reference"/>
    <w:semiHidden/>
    <w:unhideWhenUsed/>
    <w:qFormat/>
    <w:uiPriority w:val="99"/>
    <w:rPr>
      <w:sz w:val="21"/>
      <w:szCs w:val="21"/>
    </w:rPr>
  </w:style>
  <w:style w:type="character" w:styleId="59">
    <w:name w:val="footnote reference"/>
    <w:semiHidden/>
    <w:qFormat/>
    <w:uiPriority w:val="0"/>
    <w:rPr>
      <w:vertAlign w:val="superscript"/>
    </w:rPr>
  </w:style>
  <w:style w:type="character" w:customStyle="1" w:styleId="60">
    <w:name w:val="HTML 预设格式 Char"/>
    <w:link w:val="44"/>
    <w:qFormat/>
    <w:uiPriority w:val="99"/>
    <w:rPr>
      <w:rFonts w:ascii="宋体" w:hAnsi="宋体" w:eastAsia="宋体" w:cs="宋体"/>
      <w:sz w:val="24"/>
      <w:szCs w:val="24"/>
      <w:lang w:val="en-US" w:eastAsia="zh-CN" w:bidi="ar-SA"/>
    </w:rPr>
  </w:style>
  <w:style w:type="character" w:customStyle="1" w:styleId="61">
    <w:name w:val="页眉 Char"/>
    <w:link w:val="33"/>
    <w:qFormat/>
    <w:uiPriority w:val="99"/>
    <w:rPr>
      <w:rFonts w:eastAsia="宋体"/>
      <w:kern w:val="2"/>
      <w:sz w:val="18"/>
      <w:szCs w:val="18"/>
      <w:lang w:val="en-US" w:eastAsia="zh-CN" w:bidi="ar-SA"/>
    </w:rPr>
  </w:style>
  <w:style w:type="character" w:customStyle="1" w:styleId="62">
    <w:name w:val="纯文本 Char"/>
    <w:link w:val="26"/>
    <w:qFormat/>
    <w:uiPriority w:val="0"/>
    <w:rPr>
      <w:rFonts w:ascii="宋体" w:hAnsi="Courier New" w:eastAsia="宋体" w:cs="Courier New"/>
      <w:kern w:val="2"/>
      <w:sz w:val="21"/>
      <w:szCs w:val="21"/>
      <w:lang w:val="en-US" w:eastAsia="zh-CN" w:bidi="ar-SA"/>
    </w:rPr>
  </w:style>
  <w:style w:type="character" w:customStyle="1" w:styleId="63">
    <w:name w:val="Char Char"/>
    <w:qFormat/>
    <w:uiPriority w:val="0"/>
    <w:rPr>
      <w:rFonts w:ascii="宋体" w:hAnsi="Courier New" w:eastAsia="宋体" w:cs="Courier New"/>
      <w:kern w:val="0"/>
      <w:szCs w:val="21"/>
    </w:rPr>
  </w:style>
  <w:style w:type="character" w:customStyle="1" w:styleId="64">
    <w:name w:val="标题 2 Char"/>
    <w:link w:val="5"/>
    <w:qFormat/>
    <w:uiPriority w:val="9"/>
    <w:rPr>
      <w:rFonts w:ascii="Arial" w:hAnsi="Arial" w:eastAsia="黑体"/>
      <w:b/>
      <w:kern w:val="2"/>
      <w:sz w:val="32"/>
      <w:lang w:val="en-US" w:eastAsia="zh-CN" w:bidi="ar-SA"/>
    </w:rPr>
  </w:style>
  <w:style w:type="paragraph" w:customStyle="1" w:styleId="65">
    <w:name w:val="xl26"/>
    <w:basedOn w:val="1"/>
    <w:qFormat/>
    <w:uiPriority w:val="0"/>
    <w:pPr>
      <w:widowControl/>
      <w:spacing w:before="100" w:beforeAutospacing="1" w:after="100" w:afterAutospacing="1"/>
      <w:jc w:val="left"/>
    </w:pPr>
    <w:rPr>
      <w:rFonts w:ascii="宋体" w:hAnsi="宋体"/>
      <w:sz w:val="24"/>
    </w:rPr>
  </w:style>
  <w:style w:type="paragraph" w:customStyle="1" w:styleId="66">
    <w:name w:val="表格"/>
    <w:basedOn w:val="1"/>
    <w:qFormat/>
    <w:uiPriority w:val="0"/>
    <w:pPr>
      <w:spacing w:before="60" w:after="60"/>
      <w:jc w:val="center"/>
    </w:pPr>
    <w:rPr>
      <w:rFonts w:ascii="宋体"/>
      <w:sz w:val="24"/>
      <w:szCs w:val="20"/>
    </w:rPr>
  </w:style>
  <w:style w:type="paragraph" w:customStyle="1" w:styleId="67">
    <w:name w:val="Char"/>
    <w:basedOn w:val="1"/>
    <w:qFormat/>
    <w:uiPriority w:val="0"/>
    <w:rPr>
      <w:bCs/>
      <w:sz w:val="24"/>
    </w:rPr>
  </w:style>
  <w:style w:type="paragraph" w:customStyle="1" w:styleId="6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1"/>
    <w:basedOn w:val="1"/>
    <w:qFormat/>
    <w:uiPriority w:val="0"/>
    <w:pPr>
      <w:adjustRightInd w:val="0"/>
      <w:spacing w:line="360" w:lineRule="atLeast"/>
      <w:jc w:val="left"/>
      <w:textAlignment w:val="baseline"/>
    </w:pPr>
    <w:rPr>
      <w:rFonts w:ascii="宋体"/>
      <w:b/>
      <w:kern w:val="0"/>
      <w:sz w:val="24"/>
    </w:rPr>
  </w:style>
  <w:style w:type="paragraph" w:customStyle="1" w:styleId="70">
    <w:name w:val="Char Char Char Char"/>
    <w:basedOn w:val="1"/>
    <w:qFormat/>
    <w:uiPriority w:val="0"/>
    <w:rPr>
      <w:rFonts w:ascii="仿宋_GB2312"/>
      <w:color w:val="000000"/>
    </w:rPr>
  </w:style>
  <w:style w:type="paragraph" w:styleId="71">
    <w:name w:val="List Paragraph"/>
    <w:basedOn w:val="1"/>
    <w:link w:val="332"/>
    <w:qFormat/>
    <w:uiPriority w:val="34"/>
    <w:pPr>
      <w:ind w:firstLine="420" w:firstLineChars="200"/>
    </w:pPr>
  </w:style>
  <w:style w:type="paragraph" w:customStyle="1" w:styleId="72">
    <w:name w:val="不缩进"/>
    <w:basedOn w:val="1"/>
    <w:qFormat/>
    <w:uiPriority w:val="0"/>
    <w:pPr>
      <w:autoSpaceDE w:val="0"/>
      <w:autoSpaceDN w:val="0"/>
      <w:adjustRightInd w:val="0"/>
      <w:spacing w:before="100" w:after="100" w:line="240" w:lineRule="atLeast"/>
      <w:jc w:val="center"/>
      <w:textAlignment w:val="baseline"/>
    </w:pPr>
    <w:rPr>
      <w:rFonts w:ascii="宋体"/>
      <w:kern w:val="0"/>
      <w:sz w:val="24"/>
      <w:szCs w:val="20"/>
    </w:rPr>
  </w:style>
  <w:style w:type="paragraph" w:customStyle="1" w:styleId="73">
    <w:name w:val="列出段落1"/>
    <w:basedOn w:val="1"/>
    <w:qFormat/>
    <w:uiPriority w:val="34"/>
    <w:pPr>
      <w:ind w:firstLine="420" w:firstLineChars="200"/>
    </w:pPr>
    <w:rPr>
      <w:rFonts w:ascii="Calibri" w:hAnsi="Calibri"/>
      <w:szCs w:val="22"/>
    </w:rPr>
  </w:style>
  <w:style w:type="paragraph" w:customStyle="1" w:styleId="74">
    <w:name w:val="样式2"/>
    <w:basedOn w:val="1"/>
    <w:qFormat/>
    <w:uiPriority w:val="0"/>
    <w:pPr>
      <w:spacing w:line="360" w:lineRule="auto"/>
    </w:pPr>
    <w:rPr>
      <w:kern w:val="0"/>
      <w:sz w:val="28"/>
      <w:szCs w:val="20"/>
    </w:rPr>
  </w:style>
  <w:style w:type="character" w:customStyle="1" w:styleId="75">
    <w:name w:val="标题 5 Char"/>
    <w:link w:val="9"/>
    <w:qFormat/>
    <w:uiPriority w:val="9"/>
    <w:rPr>
      <w:b/>
      <w:kern w:val="2"/>
      <w:sz w:val="24"/>
    </w:rPr>
  </w:style>
  <w:style w:type="character" w:customStyle="1" w:styleId="76">
    <w:name w:val="标题 6 Char"/>
    <w:link w:val="10"/>
    <w:qFormat/>
    <w:uiPriority w:val="9"/>
    <w:rPr>
      <w:kern w:val="2"/>
      <w:sz w:val="28"/>
    </w:rPr>
  </w:style>
  <w:style w:type="character" w:customStyle="1" w:styleId="77">
    <w:name w:val="文档结构图 Char"/>
    <w:link w:val="17"/>
    <w:qFormat/>
    <w:uiPriority w:val="0"/>
    <w:rPr>
      <w:kern w:val="2"/>
      <w:sz w:val="21"/>
      <w:shd w:val="clear" w:color="auto" w:fill="000080"/>
    </w:rPr>
  </w:style>
  <w:style w:type="paragraph" w:customStyle="1" w:styleId="78">
    <w:name w:val="样式1"/>
    <w:basedOn w:val="1"/>
    <w:link w:val="314"/>
    <w:qFormat/>
    <w:uiPriority w:val="0"/>
    <w:pPr>
      <w:adjustRightInd w:val="0"/>
      <w:spacing w:line="420" w:lineRule="auto"/>
      <w:jc w:val="center"/>
      <w:textAlignment w:val="baseline"/>
    </w:pPr>
    <w:rPr>
      <w:rFonts w:ascii="宋体"/>
      <w:kern w:val="0"/>
      <w:sz w:val="24"/>
      <w:szCs w:val="20"/>
    </w:rPr>
  </w:style>
  <w:style w:type="paragraph" w:customStyle="1" w:styleId="7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80">
    <w:name w:val="批注框文本 Char"/>
    <w:link w:val="31"/>
    <w:qFormat/>
    <w:uiPriority w:val="99"/>
    <w:rPr>
      <w:kern w:val="2"/>
      <w:sz w:val="18"/>
      <w:szCs w:val="18"/>
    </w:rPr>
  </w:style>
  <w:style w:type="character" w:customStyle="1" w:styleId="81">
    <w:name w:val="正文文本缩进 3 Char"/>
    <w:link w:val="40"/>
    <w:qFormat/>
    <w:uiPriority w:val="0"/>
    <w:rPr>
      <w:rFonts w:ascii="宋体"/>
      <w:sz w:val="24"/>
    </w:rPr>
  </w:style>
  <w:style w:type="character" w:customStyle="1" w:styleId="82">
    <w:name w:val="正文文本 2 Char"/>
    <w:link w:val="43"/>
    <w:qFormat/>
    <w:uiPriority w:val="0"/>
    <w:rPr>
      <w:rFonts w:ascii="MS Gothic"/>
      <w:kern w:val="2"/>
      <w:sz w:val="16"/>
    </w:rPr>
  </w:style>
  <w:style w:type="character" w:customStyle="1" w:styleId="83">
    <w:name w:val="HTML 预设格式 Char1"/>
    <w:qFormat/>
    <w:uiPriority w:val="99"/>
    <w:rPr>
      <w:rFonts w:ascii="宋体" w:hAnsi="宋体" w:cs="宋体"/>
      <w:sz w:val="24"/>
      <w:szCs w:val="24"/>
    </w:rPr>
  </w:style>
  <w:style w:type="character" w:customStyle="1" w:styleId="84">
    <w:name w:val="纯文本 字符"/>
    <w:qFormat/>
    <w:uiPriority w:val="0"/>
    <w:rPr>
      <w:rFonts w:ascii="宋体" w:hAnsi="Courier New"/>
      <w:kern w:val="2"/>
      <w:sz w:val="21"/>
    </w:rPr>
  </w:style>
  <w:style w:type="character" w:customStyle="1" w:styleId="85">
    <w:name w:val="正文缩进 Char"/>
    <w:link w:val="6"/>
    <w:qFormat/>
    <w:uiPriority w:val="0"/>
    <w:rPr>
      <w:kern w:val="2"/>
      <w:sz w:val="21"/>
      <w:szCs w:val="24"/>
    </w:rPr>
  </w:style>
  <w:style w:type="character" w:customStyle="1" w:styleId="86">
    <w:name w:val="标题 3 Char"/>
    <w:link w:val="7"/>
    <w:qFormat/>
    <w:uiPriority w:val="9"/>
    <w:rPr>
      <w:rFonts w:ascii="宋体" w:hAnsi="宋体"/>
      <w:bCs/>
      <w:kern w:val="2"/>
      <w:sz w:val="24"/>
      <w:szCs w:val="24"/>
    </w:rPr>
  </w:style>
  <w:style w:type="character" w:customStyle="1" w:styleId="87">
    <w:name w:val="标题 7 Char"/>
    <w:link w:val="11"/>
    <w:semiHidden/>
    <w:qFormat/>
    <w:uiPriority w:val="9"/>
    <w:rPr>
      <w:rFonts w:ascii="Cambria" w:hAnsi="Cambria"/>
      <w:i/>
      <w:iCs/>
      <w:color w:val="404040"/>
      <w:sz w:val="21"/>
      <w:szCs w:val="22"/>
    </w:rPr>
  </w:style>
  <w:style w:type="character" w:customStyle="1" w:styleId="88">
    <w:name w:val="标题 8 Char"/>
    <w:link w:val="12"/>
    <w:semiHidden/>
    <w:qFormat/>
    <w:uiPriority w:val="9"/>
    <w:rPr>
      <w:rFonts w:ascii="Cambria" w:hAnsi="Cambria"/>
      <w:color w:val="4F81BD"/>
    </w:rPr>
  </w:style>
  <w:style w:type="character" w:customStyle="1" w:styleId="89">
    <w:name w:val="标题 9 Char"/>
    <w:link w:val="13"/>
    <w:semiHidden/>
    <w:qFormat/>
    <w:uiPriority w:val="9"/>
    <w:rPr>
      <w:rFonts w:ascii="Cambria" w:hAnsi="Cambria"/>
      <w:i/>
      <w:iCs/>
      <w:color w:val="404040"/>
    </w:rPr>
  </w:style>
  <w:style w:type="character" w:customStyle="1" w:styleId="90">
    <w:name w:val="批注文字 Char"/>
    <w:link w:val="18"/>
    <w:semiHidden/>
    <w:qFormat/>
    <w:uiPriority w:val="0"/>
    <w:rPr>
      <w:sz w:val="21"/>
      <w:szCs w:val="22"/>
    </w:rPr>
  </w:style>
  <w:style w:type="character" w:customStyle="1" w:styleId="91">
    <w:name w:val="正文文本 3 Char"/>
    <w:link w:val="19"/>
    <w:semiHidden/>
    <w:qFormat/>
    <w:uiPriority w:val="0"/>
    <w:rPr>
      <w:rFonts w:ascii="Arial" w:hAnsi="Arial" w:eastAsia="仿宋_GB2312"/>
      <w:sz w:val="24"/>
      <w:szCs w:val="22"/>
    </w:rPr>
  </w:style>
  <w:style w:type="character" w:customStyle="1" w:styleId="92">
    <w:name w:val="尾注文本 Char"/>
    <w:link w:val="30"/>
    <w:semiHidden/>
    <w:qFormat/>
    <w:uiPriority w:val="0"/>
    <w:rPr>
      <w:sz w:val="24"/>
      <w:szCs w:val="22"/>
    </w:rPr>
  </w:style>
  <w:style w:type="character" w:customStyle="1" w:styleId="93">
    <w:name w:val="副标题 Char"/>
    <w:link w:val="36"/>
    <w:qFormat/>
    <w:uiPriority w:val="11"/>
    <w:rPr>
      <w:rFonts w:ascii="Cambria" w:hAnsi="Cambria"/>
      <w:i/>
      <w:iCs/>
      <w:color w:val="4F81BD"/>
      <w:spacing w:val="15"/>
      <w:sz w:val="24"/>
      <w:szCs w:val="24"/>
    </w:rPr>
  </w:style>
  <w:style w:type="character" w:customStyle="1" w:styleId="94">
    <w:name w:val="批注主题 Char"/>
    <w:link w:val="49"/>
    <w:semiHidden/>
    <w:qFormat/>
    <w:uiPriority w:val="0"/>
    <w:rPr>
      <w:b/>
      <w:bCs/>
      <w:sz w:val="21"/>
      <w:szCs w:val="22"/>
    </w:rPr>
  </w:style>
  <w:style w:type="character" w:customStyle="1" w:styleId="95">
    <w:name w:val="标题 1 Char"/>
    <w:link w:val="4"/>
    <w:qFormat/>
    <w:uiPriority w:val="9"/>
    <w:rPr>
      <w:b/>
      <w:bCs/>
      <w:kern w:val="44"/>
      <w:sz w:val="44"/>
      <w:szCs w:val="44"/>
    </w:rPr>
  </w:style>
  <w:style w:type="character" w:customStyle="1" w:styleId="96">
    <w:name w:val="标题 4 Char"/>
    <w:link w:val="8"/>
    <w:qFormat/>
    <w:uiPriority w:val="9"/>
    <w:rPr>
      <w:rFonts w:ascii="Arial" w:hAnsi="Arial" w:eastAsia="黑体"/>
      <w:b/>
      <w:bCs/>
      <w:kern w:val="2"/>
      <w:sz w:val="28"/>
      <w:szCs w:val="28"/>
    </w:rPr>
  </w:style>
  <w:style w:type="paragraph" w:customStyle="1" w:styleId="97">
    <w:name w:val="Char Char1 Char"/>
    <w:basedOn w:val="1"/>
    <w:semiHidden/>
    <w:unhideWhenUsed/>
    <w:qFormat/>
    <w:uiPriority w:val="0"/>
    <w:pPr>
      <w:adjustRightInd w:val="0"/>
      <w:snapToGrid w:val="0"/>
      <w:spacing w:line="360" w:lineRule="auto"/>
      <w:ind w:firstLine="200" w:firstLineChars="200"/>
    </w:pPr>
    <w:rPr>
      <w:kern w:val="0"/>
    </w:rPr>
  </w:style>
  <w:style w:type="character" w:customStyle="1" w:styleId="98">
    <w:name w:val="标题 21"/>
    <w:semiHidden/>
    <w:unhideWhenUsed/>
    <w:qFormat/>
    <w:uiPriority w:val="0"/>
    <w:rPr>
      <w:rFonts w:ascii="宋体" w:hAnsi="Arial" w:eastAsia="宋体"/>
      <w:b/>
      <w:sz w:val="28"/>
      <w:lang w:val="en-US" w:eastAsia="zh-CN" w:bidi="ar-SA"/>
    </w:rPr>
  </w:style>
  <w:style w:type="character" w:customStyle="1" w:styleId="99">
    <w:name w:val="日期 Char"/>
    <w:link w:val="28"/>
    <w:qFormat/>
    <w:uiPriority w:val="0"/>
    <w:rPr>
      <w:rFonts w:ascii="宋体"/>
      <w:color w:val="0000FF"/>
      <w:sz w:val="21"/>
    </w:rPr>
  </w:style>
  <w:style w:type="character" w:customStyle="1" w:styleId="100">
    <w:name w:val="正文文本缩进 Char"/>
    <w:link w:val="3"/>
    <w:qFormat/>
    <w:uiPriority w:val="0"/>
    <w:rPr>
      <w:rFonts w:ascii="宋体"/>
      <w:color w:val="FF00FF"/>
      <w:kern w:val="2"/>
      <w:sz w:val="28"/>
    </w:rPr>
  </w:style>
  <w:style w:type="character" w:customStyle="1" w:styleId="101">
    <w:name w:val="正文文本 Char"/>
    <w:link w:val="20"/>
    <w:qFormat/>
    <w:uiPriority w:val="0"/>
    <w:rPr>
      <w:kern w:val="2"/>
      <w:sz w:val="28"/>
    </w:rPr>
  </w:style>
  <w:style w:type="character" w:customStyle="1" w:styleId="102">
    <w:name w:val="页脚 Char"/>
    <w:link w:val="32"/>
    <w:qFormat/>
    <w:uiPriority w:val="99"/>
    <w:rPr>
      <w:kern w:val="2"/>
      <w:sz w:val="18"/>
      <w:szCs w:val="18"/>
    </w:rPr>
  </w:style>
  <w:style w:type="paragraph" w:customStyle="1" w:styleId="103">
    <w:name w:val="标题2（新） Char Char"/>
    <w:basedOn w:val="5"/>
    <w:semiHidden/>
    <w:unhideWhenUsed/>
    <w:qFormat/>
    <w:uiPriority w:val="0"/>
    <w:pPr>
      <w:keepNext w:val="0"/>
      <w:keepLines w:val="0"/>
      <w:adjustRightInd w:val="0"/>
      <w:snapToGrid w:val="0"/>
      <w:spacing w:beforeLines="50" w:afterLines="50" w:line="440" w:lineRule="exact"/>
      <w:jc w:val="left"/>
    </w:pPr>
    <w:rPr>
      <w:rFonts w:ascii="Times New Roman" w:hAnsi="Times New Roman" w:cs="宋体"/>
      <w:b w:val="0"/>
      <w:snapToGrid w:val="0"/>
      <w:color w:val="000000"/>
      <w:kern w:val="0"/>
      <w:sz w:val="28"/>
      <w:szCs w:val="28"/>
    </w:rPr>
  </w:style>
  <w:style w:type="character" w:customStyle="1" w:styleId="104">
    <w:name w:val="标题2（新） Char Char Char"/>
    <w:semiHidden/>
    <w:unhideWhenUsed/>
    <w:qFormat/>
    <w:uiPriority w:val="0"/>
    <w:rPr>
      <w:rFonts w:ascii="宋体" w:hAnsi="Arial" w:eastAsia="宋体" w:cs="宋体"/>
      <w:b/>
      <w:bCs/>
      <w:snapToGrid w:val="0"/>
      <w:sz w:val="28"/>
      <w:szCs w:val="28"/>
      <w:lang w:val="en-US" w:eastAsia="zh-CN" w:bidi="ar-SA"/>
    </w:rPr>
  </w:style>
  <w:style w:type="paragraph" w:customStyle="1" w:styleId="105">
    <w:name w:val="1"/>
    <w:basedOn w:val="1"/>
    <w:next w:val="26"/>
    <w:semiHidden/>
    <w:unhideWhenUsed/>
    <w:qFormat/>
    <w:uiPriority w:val="0"/>
    <w:pPr>
      <w:adjustRightInd w:val="0"/>
      <w:snapToGrid w:val="0"/>
      <w:spacing w:line="360" w:lineRule="auto"/>
      <w:ind w:firstLine="200" w:firstLineChars="200"/>
    </w:pPr>
    <w:rPr>
      <w:rFonts w:ascii="宋体" w:hAnsi="Courier New"/>
      <w:kern w:val="0"/>
      <w:szCs w:val="22"/>
    </w:rPr>
  </w:style>
  <w:style w:type="paragraph" w:customStyle="1" w:styleId="106">
    <w:name w:val="Char Char Char"/>
    <w:basedOn w:val="1"/>
    <w:semiHidden/>
    <w:unhideWhenUsed/>
    <w:qFormat/>
    <w:uiPriority w:val="0"/>
    <w:pPr>
      <w:adjustRightInd w:val="0"/>
      <w:snapToGrid w:val="0"/>
      <w:spacing w:line="360" w:lineRule="auto"/>
      <w:ind w:firstLine="200" w:firstLineChars="200"/>
    </w:pPr>
    <w:rPr>
      <w:kern w:val="0"/>
    </w:rPr>
  </w:style>
  <w:style w:type="paragraph" w:customStyle="1" w:styleId="107">
    <w:name w:val="修订1"/>
    <w:hidden/>
    <w:semiHidden/>
    <w:qFormat/>
    <w:uiPriority w:val="0"/>
    <w:pPr>
      <w:spacing w:after="200" w:line="276" w:lineRule="auto"/>
    </w:pPr>
    <w:rPr>
      <w:rFonts w:ascii="Calibri" w:hAnsi="Calibri" w:eastAsia="宋体" w:cs="Times New Roman"/>
      <w:kern w:val="2"/>
      <w:sz w:val="21"/>
      <w:szCs w:val="22"/>
      <w:lang w:val="en-US" w:eastAsia="zh-CN" w:bidi="he-IL"/>
    </w:rPr>
  </w:style>
  <w:style w:type="paragraph" w:customStyle="1" w:styleId="108">
    <w:name w:val="样式 标题 2 + Times New Roman 四号 非加粗 段前: 5 磅 段后: 0 磅 行距: 固定值 20..."/>
    <w:basedOn w:val="5"/>
    <w:unhideWhenUsed/>
    <w:qFormat/>
    <w:uiPriority w:val="0"/>
    <w:pPr>
      <w:keepNext w:val="0"/>
      <w:keepLines w:val="0"/>
      <w:adjustRightInd w:val="0"/>
      <w:snapToGrid w:val="0"/>
      <w:spacing w:beforeLines="50" w:afterLines="50" w:line="400" w:lineRule="exact"/>
    </w:pPr>
    <w:rPr>
      <w:rFonts w:ascii="Times New Roman" w:hAnsi="Times New Roman" w:cs="宋体"/>
      <w:bCs/>
      <w:color w:val="000000"/>
      <w:sz w:val="28"/>
      <w:szCs w:val="26"/>
    </w:rPr>
  </w:style>
  <w:style w:type="paragraph" w:customStyle="1" w:styleId="109">
    <w:name w:val="样式 标题 3 + (中文) 黑体 小四 非加粗 段前: 7.8 磅 段后: 0 磅 行距: 固定值 20 磅"/>
    <w:basedOn w:val="7"/>
    <w:unhideWhenUsed/>
    <w:qFormat/>
    <w:uiPriority w:val="0"/>
    <w:pPr>
      <w:keepNext w:val="0"/>
      <w:keepLines w:val="0"/>
      <w:tabs>
        <w:tab w:val="clear" w:pos="1674"/>
      </w:tabs>
      <w:adjustRightInd w:val="0"/>
      <w:snapToGrid w:val="0"/>
      <w:spacing w:line="400" w:lineRule="exact"/>
      <w:ind w:left="0" w:leftChars="0" w:right="0" w:rightChars="0"/>
      <w:jc w:val="both"/>
    </w:pPr>
    <w:rPr>
      <w:rFonts w:ascii="Times New Roman" w:hAnsi="Times New Roman" w:eastAsia="黑体" w:cs="宋体"/>
      <w:b/>
      <w:color w:val="000000"/>
      <w:kern w:val="0"/>
      <w:szCs w:val="22"/>
    </w:rPr>
  </w:style>
  <w:style w:type="paragraph" w:customStyle="1" w:styleId="110">
    <w:name w:val="M标题"/>
    <w:basedOn w:val="1"/>
    <w:next w:val="1"/>
    <w:link w:val="111"/>
    <w:semiHidden/>
    <w:unhideWhenUsed/>
    <w:qFormat/>
    <w:uiPriority w:val="0"/>
    <w:pPr>
      <w:tabs>
        <w:tab w:val="left" w:pos="425"/>
      </w:tabs>
      <w:adjustRightInd w:val="0"/>
      <w:snapToGrid w:val="0"/>
      <w:spacing w:before="60" w:after="320" w:line="360" w:lineRule="auto"/>
      <w:ind w:left="425" w:hanging="425" w:firstLineChars="200"/>
      <w:jc w:val="center"/>
      <w:outlineLvl w:val="0"/>
    </w:pPr>
    <w:rPr>
      <w:b/>
      <w:kern w:val="0"/>
      <w:sz w:val="44"/>
      <w:szCs w:val="22"/>
    </w:rPr>
  </w:style>
  <w:style w:type="character" w:customStyle="1" w:styleId="111">
    <w:name w:val="M标题 Char"/>
    <w:link w:val="110"/>
    <w:semiHidden/>
    <w:qFormat/>
    <w:uiPriority w:val="0"/>
    <w:rPr>
      <w:b/>
      <w:sz w:val="44"/>
      <w:szCs w:val="22"/>
    </w:rPr>
  </w:style>
  <w:style w:type="paragraph" w:customStyle="1" w:styleId="112">
    <w:name w:val="Char Char Char Char Char Char Char Char"/>
    <w:basedOn w:val="1"/>
    <w:semiHidden/>
    <w:unhideWhenUsed/>
    <w:qFormat/>
    <w:uiPriority w:val="0"/>
    <w:pPr>
      <w:adjustRightInd w:val="0"/>
      <w:snapToGrid w:val="0"/>
      <w:spacing w:line="360" w:lineRule="auto"/>
      <w:ind w:firstLine="200" w:firstLineChars="200"/>
    </w:pPr>
    <w:rPr>
      <w:kern w:val="0"/>
    </w:rPr>
  </w:style>
  <w:style w:type="paragraph" w:customStyle="1" w:styleId="113">
    <w:name w:val="Char Char Char Char Char Char Char"/>
    <w:basedOn w:val="1"/>
    <w:semiHidden/>
    <w:unhideWhenUsed/>
    <w:qFormat/>
    <w:uiPriority w:val="0"/>
    <w:pPr>
      <w:adjustRightInd w:val="0"/>
      <w:snapToGrid w:val="0"/>
      <w:spacing w:line="360" w:lineRule="auto"/>
      <w:ind w:firstLine="200" w:firstLineChars="200"/>
    </w:pPr>
    <w:rPr>
      <w:rFonts w:ascii="宋体"/>
      <w:spacing w:val="-12"/>
      <w:kern w:val="21"/>
      <w:sz w:val="24"/>
      <w:szCs w:val="22"/>
    </w:rPr>
  </w:style>
  <w:style w:type="paragraph" w:customStyle="1" w:styleId="114">
    <w:name w:val="张勋节格式居左"/>
    <w:semiHidden/>
    <w:unhideWhenUsed/>
    <w:qFormat/>
    <w:uiPriority w:val="0"/>
    <w:pPr>
      <w:spacing w:after="200" w:line="276" w:lineRule="auto"/>
    </w:pPr>
    <w:rPr>
      <w:rFonts w:ascii="宋体" w:hAnsi="Arial" w:eastAsia="宋体" w:cs="Times New Roman"/>
      <w:b/>
      <w:sz w:val="28"/>
      <w:szCs w:val="22"/>
      <w:lang w:val="en-US" w:eastAsia="zh-CN" w:bidi="ar-SA"/>
    </w:rPr>
  </w:style>
  <w:style w:type="paragraph" w:customStyle="1" w:styleId="115">
    <w:name w:val="标题 2 r"/>
    <w:basedOn w:val="103"/>
    <w:semiHidden/>
    <w:unhideWhenUsed/>
    <w:qFormat/>
    <w:uiPriority w:val="0"/>
    <w:pPr>
      <w:spacing w:line="360" w:lineRule="auto"/>
      <w:jc w:val="center"/>
    </w:pPr>
  </w:style>
  <w:style w:type="paragraph" w:customStyle="1" w:styleId="116">
    <w:name w:val="默认段落字体 Para Char"/>
    <w:basedOn w:val="1"/>
    <w:semiHidden/>
    <w:unhideWhenUsed/>
    <w:qFormat/>
    <w:uiPriority w:val="0"/>
    <w:pPr>
      <w:adjustRightInd w:val="0"/>
      <w:snapToGrid w:val="0"/>
      <w:spacing w:line="360" w:lineRule="auto"/>
      <w:ind w:firstLine="200" w:firstLineChars="200"/>
    </w:pPr>
    <w:rPr>
      <w:kern w:val="0"/>
    </w:rPr>
  </w:style>
  <w:style w:type="paragraph" w:customStyle="1" w:styleId="117">
    <w:name w:val="Char1 Char Char Char Char Char1 Char Char Char Char Char Char Char Char Char Char Char Char Char Char Char Char Char Char Char Char Char Char Char Char Char"/>
    <w:basedOn w:val="1"/>
    <w:semiHidden/>
    <w:unhideWhenUsed/>
    <w:qFormat/>
    <w:uiPriority w:val="0"/>
    <w:pPr>
      <w:adjustRightInd w:val="0"/>
      <w:snapToGrid w:val="0"/>
      <w:spacing w:line="360" w:lineRule="auto"/>
      <w:ind w:firstLine="200" w:firstLineChars="200"/>
    </w:pPr>
    <w:rPr>
      <w:rFonts w:ascii="华文楷体" w:hAnsi="华文楷体" w:eastAsia="华文楷体"/>
      <w:b/>
      <w:kern w:val="0"/>
      <w:sz w:val="24"/>
      <w:szCs w:val="21"/>
    </w:rPr>
  </w:style>
  <w:style w:type="paragraph" w:customStyle="1" w:styleId="118">
    <w:name w:val="样式 标题 1 + 黑体 三号 非加粗 居中 段前: 6 磅 段后: 6 磅 行距: 固定值 20 磅"/>
    <w:basedOn w:val="4"/>
    <w:semiHidden/>
    <w:unhideWhenUsed/>
    <w:qFormat/>
    <w:uiPriority w:val="0"/>
    <w:pPr>
      <w:keepNext w:val="0"/>
      <w:keepLines w:val="0"/>
      <w:adjustRightInd w:val="0"/>
      <w:snapToGrid w:val="0"/>
      <w:spacing w:beforeLines="150" w:afterLines="150" w:line="400" w:lineRule="exact"/>
      <w:jc w:val="center"/>
    </w:pPr>
    <w:rPr>
      <w:rFonts w:ascii="黑体" w:hAnsi="黑体" w:eastAsia="黑体" w:cs="宋体"/>
      <w:bCs w:val="0"/>
      <w:color w:val="000000"/>
      <w:kern w:val="0"/>
      <w:sz w:val="32"/>
      <w:szCs w:val="20"/>
    </w:rPr>
  </w:style>
  <w:style w:type="character" w:customStyle="1" w:styleId="119">
    <w:name w:val="标题 Char"/>
    <w:link w:val="48"/>
    <w:qFormat/>
    <w:uiPriority w:val="10"/>
    <w:rPr>
      <w:rFonts w:ascii="黑体" w:eastAsia="黑体"/>
      <w:snapToGrid w:val="0"/>
      <w:sz w:val="28"/>
    </w:rPr>
  </w:style>
  <w:style w:type="paragraph" w:customStyle="1" w:styleId="120">
    <w:name w:val="6'"/>
    <w:basedOn w:val="1"/>
    <w:semiHidden/>
    <w:unhideWhenUsed/>
    <w:qFormat/>
    <w:uiPriority w:val="0"/>
    <w:pPr>
      <w:autoSpaceDE w:val="0"/>
      <w:autoSpaceDN w:val="0"/>
      <w:adjustRightInd w:val="0"/>
      <w:snapToGrid w:val="0"/>
      <w:spacing w:line="320" w:lineRule="exact"/>
      <w:ind w:firstLine="200" w:firstLineChars="200"/>
      <w:jc w:val="center"/>
      <w:textAlignment w:val="baseline"/>
    </w:pPr>
    <w:rPr>
      <w:spacing w:val="20"/>
      <w:kern w:val="28"/>
      <w:szCs w:val="22"/>
    </w:rPr>
  </w:style>
  <w:style w:type="paragraph" w:customStyle="1" w:styleId="121">
    <w:name w:val="表格文字"/>
    <w:basedOn w:val="1"/>
    <w:semiHidden/>
    <w:unhideWhenUsed/>
    <w:qFormat/>
    <w:uiPriority w:val="0"/>
    <w:pPr>
      <w:adjustRightInd w:val="0"/>
      <w:snapToGrid w:val="0"/>
      <w:spacing w:line="420" w:lineRule="atLeast"/>
      <w:ind w:firstLine="200" w:firstLineChars="200"/>
      <w:jc w:val="left"/>
      <w:textAlignment w:val="baseline"/>
    </w:pPr>
    <w:rPr>
      <w:kern w:val="0"/>
      <w:szCs w:val="22"/>
    </w:rPr>
  </w:style>
  <w:style w:type="paragraph" w:customStyle="1" w:styleId="122">
    <w:name w:val="附录标识"/>
    <w:basedOn w:val="1"/>
    <w:semiHidden/>
    <w:unhideWhenUsed/>
    <w:qFormat/>
    <w:uiPriority w:val="0"/>
    <w:pPr>
      <w:numPr>
        <w:ilvl w:val="0"/>
        <w:numId w:val="1"/>
      </w:numPr>
      <w:shd w:val="clear" w:color="FFFFFF" w:fill="FFFFFF"/>
      <w:tabs>
        <w:tab w:val="left" w:pos="6405"/>
      </w:tabs>
      <w:adjustRightInd w:val="0"/>
      <w:snapToGrid w:val="0"/>
      <w:spacing w:before="640" w:after="200" w:line="360" w:lineRule="auto"/>
      <w:ind w:firstLine="200" w:firstLineChars="200"/>
      <w:jc w:val="center"/>
      <w:outlineLvl w:val="0"/>
    </w:pPr>
    <w:rPr>
      <w:rFonts w:ascii="黑体" w:eastAsia="黑体"/>
      <w:kern w:val="0"/>
      <w:szCs w:val="22"/>
    </w:rPr>
  </w:style>
  <w:style w:type="paragraph" w:customStyle="1" w:styleId="123">
    <w:name w:val="附录章标题"/>
    <w:next w:val="1"/>
    <w:semiHidden/>
    <w:unhideWhenUsed/>
    <w:qFormat/>
    <w:uiPriority w:val="0"/>
    <w:pPr>
      <w:numPr>
        <w:ilvl w:val="1"/>
        <w:numId w:val="1"/>
      </w:numPr>
      <w:wordWrap w:val="0"/>
      <w:overflowPunct w:val="0"/>
      <w:autoSpaceDE w:val="0"/>
      <w:spacing w:beforeLines="50" w:afterLines="50" w:line="276" w:lineRule="auto"/>
      <w:jc w:val="both"/>
      <w:textAlignment w:val="baseline"/>
      <w:outlineLvl w:val="1"/>
    </w:pPr>
    <w:rPr>
      <w:rFonts w:ascii="黑体" w:hAnsi="Calibri" w:eastAsia="黑体" w:cs="Times New Roman"/>
      <w:kern w:val="21"/>
      <w:sz w:val="21"/>
      <w:szCs w:val="22"/>
      <w:lang w:val="en-US" w:eastAsia="zh-CN" w:bidi="ar-SA"/>
    </w:rPr>
  </w:style>
  <w:style w:type="paragraph" w:customStyle="1" w:styleId="124">
    <w:name w:val="附录一级条标题"/>
    <w:basedOn w:val="123"/>
    <w:next w:val="1"/>
    <w:semiHidden/>
    <w:unhideWhenUsed/>
    <w:qFormat/>
    <w:uiPriority w:val="0"/>
    <w:pPr>
      <w:numPr>
        <w:ilvl w:val="0"/>
        <w:numId w:val="0"/>
      </w:numPr>
      <w:autoSpaceDN w:val="0"/>
      <w:spacing w:beforeLines="0" w:afterLines="0"/>
      <w:outlineLvl w:val="2"/>
    </w:pPr>
  </w:style>
  <w:style w:type="paragraph" w:customStyle="1" w:styleId="125">
    <w:name w:val="附录二级条标题"/>
    <w:basedOn w:val="124"/>
    <w:next w:val="1"/>
    <w:semiHidden/>
    <w:unhideWhenUsed/>
    <w:qFormat/>
    <w:uiPriority w:val="0"/>
    <w:pPr>
      <w:numPr>
        <w:ilvl w:val="3"/>
        <w:numId w:val="1"/>
      </w:numPr>
      <w:outlineLvl w:val="3"/>
    </w:pPr>
  </w:style>
  <w:style w:type="paragraph" w:customStyle="1" w:styleId="126">
    <w:name w:val="附录三级条标题"/>
    <w:basedOn w:val="125"/>
    <w:next w:val="1"/>
    <w:semiHidden/>
    <w:unhideWhenUsed/>
    <w:qFormat/>
    <w:uiPriority w:val="0"/>
    <w:pPr>
      <w:numPr>
        <w:ilvl w:val="0"/>
        <w:numId w:val="0"/>
      </w:numPr>
      <w:outlineLvl w:val="4"/>
    </w:pPr>
  </w:style>
  <w:style w:type="paragraph" w:customStyle="1" w:styleId="127">
    <w:name w:val="附录四级条标题"/>
    <w:basedOn w:val="126"/>
    <w:next w:val="1"/>
    <w:semiHidden/>
    <w:unhideWhenUsed/>
    <w:qFormat/>
    <w:uiPriority w:val="0"/>
    <w:pPr>
      <w:numPr>
        <w:ilvl w:val="5"/>
        <w:numId w:val="1"/>
      </w:numPr>
      <w:outlineLvl w:val="5"/>
    </w:pPr>
  </w:style>
  <w:style w:type="paragraph" w:customStyle="1" w:styleId="128">
    <w:name w:val="附录五级条标题"/>
    <w:basedOn w:val="127"/>
    <w:next w:val="1"/>
    <w:semiHidden/>
    <w:unhideWhenUsed/>
    <w:qFormat/>
    <w:uiPriority w:val="0"/>
    <w:pPr>
      <w:numPr>
        <w:ilvl w:val="0"/>
        <w:numId w:val="0"/>
      </w:numPr>
      <w:outlineLvl w:val="6"/>
    </w:pPr>
  </w:style>
  <w:style w:type="paragraph" w:customStyle="1" w:styleId="129">
    <w:name w:val="前言、引言标题"/>
    <w:next w:val="1"/>
    <w:semiHidden/>
    <w:unhideWhenUsed/>
    <w:qFormat/>
    <w:uiPriority w:val="0"/>
    <w:pPr>
      <w:numPr>
        <w:ilvl w:val="0"/>
        <w:numId w:val="2"/>
      </w:numPr>
      <w:shd w:val="clear" w:color="FFFFFF" w:fill="FFFFFF"/>
      <w:spacing w:before="640" w:after="560" w:line="276" w:lineRule="auto"/>
      <w:jc w:val="center"/>
      <w:outlineLvl w:val="0"/>
    </w:pPr>
    <w:rPr>
      <w:rFonts w:ascii="黑体" w:hAnsi="Calibri" w:eastAsia="黑体" w:cs="Times New Roman"/>
      <w:sz w:val="32"/>
      <w:szCs w:val="22"/>
      <w:lang w:val="en-US" w:eastAsia="zh-CN" w:bidi="ar-SA"/>
    </w:rPr>
  </w:style>
  <w:style w:type="paragraph" w:customStyle="1" w:styleId="130">
    <w:name w:val="章标题"/>
    <w:next w:val="1"/>
    <w:semiHidden/>
    <w:unhideWhenUsed/>
    <w:qFormat/>
    <w:uiPriority w:val="0"/>
    <w:pPr>
      <w:numPr>
        <w:ilvl w:val="1"/>
        <w:numId w:val="2"/>
      </w:numPr>
      <w:spacing w:beforeLines="50" w:afterLines="50" w:line="276" w:lineRule="auto"/>
      <w:jc w:val="both"/>
      <w:outlineLvl w:val="1"/>
    </w:pPr>
    <w:rPr>
      <w:rFonts w:ascii="黑体" w:hAnsi="Calibri" w:eastAsia="黑体" w:cs="Times New Roman"/>
      <w:sz w:val="21"/>
      <w:szCs w:val="22"/>
      <w:lang w:val="en-US" w:eastAsia="zh-CN" w:bidi="ar-SA"/>
    </w:rPr>
  </w:style>
  <w:style w:type="paragraph" w:customStyle="1" w:styleId="131">
    <w:name w:val="一级条标题"/>
    <w:next w:val="1"/>
    <w:semiHidden/>
    <w:unhideWhenUsed/>
    <w:qFormat/>
    <w:uiPriority w:val="0"/>
    <w:pPr>
      <w:spacing w:after="200" w:line="276" w:lineRule="auto"/>
      <w:outlineLvl w:val="2"/>
    </w:pPr>
    <w:rPr>
      <w:rFonts w:ascii="Calibri" w:hAnsi="Calibri" w:eastAsia="黑体" w:cs="Times New Roman"/>
      <w:sz w:val="21"/>
      <w:szCs w:val="22"/>
      <w:lang w:val="en-US" w:eastAsia="zh-CN" w:bidi="ar-SA"/>
    </w:rPr>
  </w:style>
  <w:style w:type="paragraph" w:customStyle="1" w:styleId="132">
    <w:name w:val="二级条标题"/>
    <w:basedOn w:val="131"/>
    <w:next w:val="1"/>
    <w:link w:val="133"/>
    <w:semiHidden/>
    <w:unhideWhenUsed/>
    <w:qFormat/>
    <w:uiPriority w:val="0"/>
    <w:pPr>
      <w:numPr>
        <w:ilvl w:val="3"/>
        <w:numId w:val="2"/>
      </w:numPr>
      <w:outlineLvl w:val="3"/>
    </w:pPr>
  </w:style>
  <w:style w:type="character" w:customStyle="1" w:styleId="133">
    <w:name w:val="二级条标题 Char"/>
    <w:link w:val="132"/>
    <w:semiHidden/>
    <w:qFormat/>
    <w:uiPriority w:val="0"/>
    <w:rPr>
      <w:rFonts w:ascii="Calibri" w:hAnsi="Calibri" w:eastAsia="黑体"/>
      <w:sz w:val="21"/>
      <w:szCs w:val="22"/>
    </w:rPr>
  </w:style>
  <w:style w:type="paragraph" w:customStyle="1" w:styleId="134">
    <w:name w:val="三级条标题"/>
    <w:basedOn w:val="132"/>
    <w:next w:val="1"/>
    <w:semiHidden/>
    <w:unhideWhenUsed/>
    <w:qFormat/>
    <w:uiPriority w:val="0"/>
    <w:pPr>
      <w:numPr>
        <w:ilvl w:val="0"/>
        <w:numId w:val="0"/>
      </w:numPr>
      <w:outlineLvl w:val="4"/>
    </w:pPr>
  </w:style>
  <w:style w:type="paragraph" w:customStyle="1" w:styleId="135">
    <w:name w:val="四级条标题"/>
    <w:basedOn w:val="134"/>
    <w:next w:val="1"/>
    <w:semiHidden/>
    <w:unhideWhenUsed/>
    <w:qFormat/>
    <w:uiPriority w:val="0"/>
    <w:pPr>
      <w:numPr>
        <w:ilvl w:val="5"/>
        <w:numId w:val="2"/>
      </w:numPr>
      <w:tabs>
        <w:tab w:val="left" w:pos="360"/>
      </w:tabs>
      <w:outlineLvl w:val="5"/>
    </w:pPr>
  </w:style>
  <w:style w:type="paragraph" w:customStyle="1" w:styleId="136">
    <w:name w:val="五级条标题"/>
    <w:basedOn w:val="135"/>
    <w:next w:val="1"/>
    <w:semiHidden/>
    <w:unhideWhenUsed/>
    <w:qFormat/>
    <w:uiPriority w:val="0"/>
    <w:pPr>
      <w:numPr>
        <w:ilvl w:val="6"/>
      </w:numPr>
      <w:outlineLvl w:val="6"/>
    </w:pPr>
  </w:style>
  <w:style w:type="paragraph" w:customStyle="1" w:styleId="137">
    <w:name w:val="样式 二级条标题 + 宋体"/>
    <w:basedOn w:val="132"/>
    <w:semiHidden/>
    <w:unhideWhenUsed/>
    <w:qFormat/>
    <w:uiPriority w:val="0"/>
    <w:rPr>
      <w:rFonts w:ascii="宋体" w:hAnsi="宋体" w:eastAsia="宋体"/>
    </w:rPr>
  </w:style>
  <w:style w:type="paragraph" w:customStyle="1" w:styleId="138">
    <w:name w:val="标准书脚_偶数页"/>
    <w:semiHidden/>
    <w:unhideWhenUsed/>
    <w:qFormat/>
    <w:uiPriority w:val="0"/>
    <w:pPr>
      <w:spacing w:before="120" w:after="200" w:line="276" w:lineRule="auto"/>
    </w:pPr>
    <w:rPr>
      <w:rFonts w:ascii="Calibri" w:hAnsi="Calibri" w:eastAsia="宋体" w:cs="Times New Roman"/>
      <w:sz w:val="18"/>
      <w:szCs w:val="22"/>
      <w:lang w:val="en-US" w:eastAsia="zh-CN" w:bidi="ar-SA"/>
    </w:rPr>
  </w:style>
  <w:style w:type="paragraph" w:customStyle="1" w:styleId="139">
    <w:name w:val="Char Char Char Char Char"/>
    <w:basedOn w:val="1"/>
    <w:semiHidden/>
    <w:unhideWhenUsed/>
    <w:qFormat/>
    <w:uiPriority w:val="0"/>
    <w:pPr>
      <w:adjustRightInd w:val="0"/>
      <w:snapToGrid w:val="0"/>
      <w:spacing w:line="360" w:lineRule="auto"/>
      <w:ind w:firstLine="200" w:firstLineChars="200"/>
    </w:pPr>
    <w:rPr>
      <w:kern w:val="0"/>
    </w:rPr>
  </w:style>
  <w:style w:type="paragraph" w:customStyle="1" w:styleId="140">
    <w:name w:val="封面标准英文名称"/>
    <w:semiHidden/>
    <w:unhideWhenUsed/>
    <w:qFormat/>
    <w:uiPriority w:val="0"/>
    <w:pPr>
      <w:widowControl w:val="0"/>
      <w:spacing w:before="370" w:after="200" w:line="400" w:lineRule="exact"/>
      <w:jc w:val="center"/>
    </w:pPr>
    <w:rPr>
      <w:rFonts w:ascii="Calibri" w:hAnsi="Calibri" w:eastAsia="宋体" w:cs="Times New Roman"/>
      <w:sz w:val="28"/>
      <w:szCs w:val="22"/>
      <w:lang w:val="en-US" w:eastAsia="zh-CN" w:bidi="ar-SA"/>
    </w:rPr>
  </w:style>
  <w:style w:type="paragraph" w:customStyle="1" w:styleId="141">
    <w:name w:val="段"/>
    <w:link w:val="171"/>
    <w:semiHidden/>
    <w:unhideWhenUsed/>
    <w:qFormat/>
    <w:uiPriority w:val="0"/>
    <w:pPr>
      <w:autoSpaceDE w:val="0"/>
      <w:autoSpaceDN w:val="0"/>
      <w:spacing w:after="200" w:line="276" w:lineRule="auto"/>
      <w:ind w:firstLine="200" w:firstLineChars="200"/>
      <w:jc w:val="both"/>
    </w:pPr>
    <w:rPr>
      <w:rFonts w:ascii="宋体" w:hAnsi="Calibri" w:eastAsia="宋体" w:cs="Times New Roman"/>
      <w:sz w:val="21"/>
      <w:szCs w:val="22"/>
      <w:lang w:val="en-US" w:eastAsia="zh-CN" w:bidi="ar-SA"/>
    </w:rPr>
  </w:style>
  <w:style w:type="paragraph" w:customStyle="1" w:styleId="142">
    <w:name w:val="附录表标题"/>
    <w:next w:val="141"/>
    <w:semiHidden/>
    <w:unhideWhenUsed/>
    <w:qFormat/>
    <w:uiPriority w:val="0"/>
    <w:pPr>
      <w:tabs>
        <w:tab w:val="left" w:pos="360"/>
      </w:tabs>
      <w:spacing w:after="200" w:line="276" w:lineRule="auto"/>
      <w:jc w:val="center"/>
      <w:textAlignment w:val="baseline"/>
    </w:pPr>
    <w:rPr>
      <w:rFonts w:ascii="黑体" w:hAnsi="Calibri" w:eastAsia="黑体" w:cs="Times New Roman"/>
      <w:kern w:val="21"/>
      <w:sz w:val="21"/>
      <w:szCs w:val="22"/>
      <w:lang w:val="en-US" w:eastAsia="zh-CN" w:bidi="ar-SA"/>
    </w:rPr>
  </w:style>
  <w:style w:type="paragraph" w:customStyle="1" w:styleId="143">
    <w:name w:val="附录图标题"/>
    <w:next w:val="141"/>
    <w:semiHidden/>
    <w:unhideWhenUsed/>
    <w:qFormat/>
    <w:uiPriority w:val="0"/>
    <w:pPr>
      <w:tabs>
        <w:tab w:val="left" w:pos="360"/>
      </w:tabs>
      <w:spacing w:after="200" w:line="276" w:lineRule="auto"/>
      <w:jc w:val="center"/>
    </w:pPr>
    <w:rPr>
      <w:rFonts w:ascii="黑体" w:hAnsi="Calibri" w:eastAsia="黑体" w:cs="Times New Roman"/>
      <w:sz w:val="21"/>
      <w:szCs w:val="22"/>
      <w:lang w:val="en-US" w:eastAsia="zh-CN" w:bidi="ar-SA"/>
    </w:rPr>
  </w:style>
  <w:style w:type="character" w:customStyle="1" w:styleId="144">
    <w:name w:val="个人答复风格"/>
    <w:semiHidden/>
    <w:unhideWhenUsed/>
    <w:qFormat/>
    <w:uiPriority w:val="0"/>
    <w:rPr>
      <w:rFonts w:ascii="Arial" w:hAnsi="Arial" w:eastAsia="宋体" w:cs="Arial"/>
      <w:color w:val="auto"/>
      <w:sz w:val="20"/>
    </w:rPr>
  </w:style>
  <w:style w:type="paragraph" w:customStyle="1" w:styleId="145">
    <w:name w:val="第二章节标题2"/>
    <w:unhideWhenUsed/>
    <w:qFormat/>
    <w:uiPriority w:val="0"/>
    <w:pPr>
      <w:tabs>
        <w:tab w:val="left" w:pos="0"/>
      </w:tabs>
      <w:spacing w:after="200" w:line="400" w:lineRule="exact"/>
      <w:ind w:firstLine="424" w:firstLineChars="202"/>
      <w:jc w:val="both"/>
    </w:pPr>
    <w:rPr>
      <w:rFonts w:ascii="Calibri" w:hAnsi="Calibri" w:eastAsia="宋体" w:cs="Times New Roman"/>
      <w:kern w:val="2"/>
      <w:sz w:val="21"/>
      <w:szCs w:val="22"/>
      <w:lang w:val="en-US" w:eastAsia="zh-CN" w:bidi="he-IL"/>
    </w:rPr>
  </w:style>
  <w:style w:type="paragraph" w:customStyle="1" w:styleId="146">
    <w:name w:val="样式 首行缩进:  2 字符"/>
    <w:basedOn w:val="1"/>
    <w:unhideWhenUsed/>
    <w:qFormat/>
    <w:uiPriority w:val="0"/>
    <w:pPr>
      <w:tabs>
        <w:tab w:val="left" w:pos="1034"/>
        <w:tab w:val="left" w:pos="8789"/>
      </w:tabs>
      <w:adjustRightInd w:val="0"/>
      <w:snapToGrid w:val="0"/>
      <w:spacing w:line="360" w:lineRule="auto"/>
      <w:ind w:firstLine="200" w:firstLineChars="200"/>
      <w:jc w:val="left"/>
    </w:pPr>
    <w:rPr>
      <w:rFonts w:ascii="Arial" w:hAnsi="宋体" w:cs="Arial"/>
      <w:color w:val="000000"/>
      <w:spacing w:val="10"/>
      <w:kern w:val="0"/>
      <w:szCs w:val="21"/>
    </w:rPr>
  </w:style>
  <w:style w:type="paragraph" w:customStyle="1" w:styleId="147">
    <w:name w:val="Char1"/>
    <w:basedOn w:val="1"/>
    <w:semiHidden/>
    <w:unhideWhenUsed/>
    <w:qFormat/>
    <w:uiPriority w:val="0"/>
    <w:pPr>
      <w:adjustRightInd w:val="0"/>
      <w:snapToGrid w:val="0"/>
      <w:spacing w:line="360" w:lineRule="auto"/>
      <w:ind w:firstLine="200" w:firstLineChars="200"/>
    </w:pPr>
    <w:rPr>
      <w:rFonts w:ascii="宋体" w:hAnsi="宋体" w:cs="宋体"/>
      <w:kern w:val="0"/>
      <w:sz w:val="24"/>
    </w:rPr>
  </w:style>
  <w:style w:type="paragraph" w:customStyle="1" w:styleId="148">
    <w:name w:val="样式 正文缩进正文（首行缩进两字） Char Char正文不缩进段1Body Text(ch)缩进ALT+Z四号..."/>
    <w:basedOn w:val="1"/>
    <w:next w:val="1"/>
    <w:semiHidden/>
    <w:unhideWhenUsed/>
    <w:qFormat/>
    <w:uiPriority w:val="0"/>
    <w:pPr>
      <w:adjustRightInd w:val="0"/>
      <w:snapToGrid w:val="0"/>
      <w:spacing w:line="360" w:lineRule="auto"/>
      <w:ind w:firstLine="480" w:firstLineChars="200"/>
    </w:pPr>
    <w:rPr>
      <w:rFonts w:cs="宋体"/>
      <w:kern w:val="0"/>
      <w:sz w:val="24"/>
    </w:rPr>
  </w:style>
  <w:style w:type="paragraph" w:customStyle="1" w:styleId="149">
    <w:name w:val="样式3"/>
    <w:basedOn w:val="1"/>
    <w:semiHidden/>
    <w:unhideWhenUsed/>
    <w:qFormat/>
    <w:uiPriority w:val="0"/>
    <w:pPr>
      <w:numPr>
        <w:ilvl w:val="1"/>
        <w:numId w:val="3"/>
      </w:numPr>
      <w:tabs>
        <w:tab w:val="clear" w:pos="992"/>
      </w:tabs>
      <w:adjustRightInd w:val="0"/>
      <w:snapToGrid w:val="0"/>
      <w:spacing w:line="360" w:lineRule="auto"/>
      <w:ind w:left="0" w:firstLine="0" w:firstLineChars="200"/>
      <w:jc w:val="left"/>
      <w:outlineLvl w:val="3"/>
    </w:pPr>
    <w:rPr>
      <w:rFonts w:ascii="宋体" w:hAnsi="宋体"/>
      <w:kern w:val="0"/>
      <w:szCs w:val="22"/>
    </w:rPr>
  </w:style>
  <w:style w:type="paragraph" w:customStyle="1" w:styleId="150">
    <w:name w:val="款标题"/>
    <w:basedOn w:val="6"/>
    <w:semiHidden/>
    <w:unhideWhenUsed/>
    <w:qFormat/>
    <w:uiPriority w:val="0"/>
    <w:pPr>
      <w:numPr>
        <w:ilvl w:val="1"/>
        <w:numId w:val="4"/>
      </w:numPr>
      <w:tabs>
        <w:tab w:val="left" w:pos="945"/>
        <w:tab w:val="clear" w:pos="1155"/>
      </w:tabs>
      <w:adjustRightInd w:val="0"/>
      <w:snapToGrid w:val="0"/>
      <w:spacing w:line="300" w:lineRule="auto"/>
      <w:ind w:left="425" w:firstLine="113" w:firstLineChars="47"/>
    </w:pPr>
    <w:rPr>
      <w:rFonts w:ascii="仿宋_GB2312" w:eastAsia="仿宋_GB2312"/>
      <w:kern w:val="0"/>
      <w:sz w:val="24"/>
      <w:szCs w:val="22"/>
    </w:rPr>
  </w:style>
  <w:style w:type="paragraph" w:customStyle="1" w:styleId="151">
    <w:name w:val="封面公司名称"/>
    <w:basedOn w:val="6"/>
    <w:semiHidden/>
    <w:unhideWhenUsed/>
    <w:qFormat/>
    <w:uiPriority w:val="0"/>
    <w:pPr>
      <w:pBdr>
        <w:bottom w:val="thinThickSmallGap" w:color="auto" w:sz="24" w:space="13"/>
      </w:pBdr>
      <w:adjustRightInd w:val="0"/>
      <w:snapToGrid w:val="0"/>
      <w:spacing w:line="300" w:lineRule="auto"/>
      <w:ind w:firstLine="0"/>
      <w:jc w:val="center"/>
    </w:pPr>
    <w:rPr>
      <w:rFonts w:ascii="黑体" w:eastAsia="黑体"/>
      <w:snapToGrid w:val="0"/>
      <w:color w:val="000000"/>
      <w:kern w:val="0"/>
      <w:sz w:val="52"/>
      <w:szCs w:val="22"/>
    </w:rPr>
  </w:style>
  <w:style w:type="paragraph" w:customStyle="1" w:styleId="152">
    <w:name w:val="封面文件名称"/>
    <w:basedOn w:val="6"/>
    <w:semiHidden/>
    <w:unhideWhenUsed/>
    <w:qFormat/>
    <w:uiPriority w:val="0"/>
    <w:pPr>
      <w:adjustRightInd w:val="0"/>
      <w:snapToGrid w:val="0"/>
      <w:spacing w:line="300" w:lineRule="auto"/>
      <w:ind w:firstLine="0"/>
      <w:jc w:val="center"/>
    </w:pPr>
    <w:rPr>
      <w:rFonts w:ascii="仿宋_GB2312" w:eastAsia="仿宋_GB2312"/>
      <w:b/>
      <w:snapToGrid w:val="0"/>
      <w:color w:val="000000"/>
      <w:kern w:val="0"/>
      <w:sz w:val="52"/>
      <w:szCs w:val="22"/>
    </w:rPr>
  </w:style>
  <w:style w:type="paragraph" w:customStyle="1" w:styleId="153">
    <w:name w:val="font7"/>
    <w:basedOn w:val="1"/>
    <w:semiHidden/>
    <w:unhideWhenUsed/>
    <w:qFormat/>
    <w:uiPriority w:val="0"/>
    <w:pPr>
      <w:adjustRightInd w:val="0"/>
      <w:snapToGrid w:val="0"/>
      <w:spacing w:before="100" w:after="100" w:line="360" w:lineRule="auto"/>
      <w:ind w:firstLine="200" w:firstLineChars="200"/>
      <w:jc w:val="left"/>
    </w:pPr>
    <w:rPr>
      <w:kern w:val="0"/>
      <w:sz w:val="24"/>
      <w:szCs w:val="22"/>
    </w:rPr>
  </w:style>
  <w:style w:type="paragraph" w:customStyle="1" w:styleId="154">
    <w:name w:val="font5"/>
    <w:basedOn w:val="1"/>
    <w:semiHidden/>
    <w:unhideWhenUsed/>
    <w:qFormat/>
    <w:uiPriority w:val="0"/>
    <w:pPr>
      <w:adjustRightInd w:val="0"/>
      <w:snapToGrid w:val="0"/>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155">
    <w:name w:val="font6"/>
    <w:basedOn w:val="1"/>
    <w:semiHidden/>
    <w:unhideWhenUsed/>
    <w:qFormat/>
    <w:uiPriority w:val="0"/>
    <w:pPr>
      <w:adjustRightInd w:val="0"/>
      <w:snapToGrid w:val="0"/>
      <w:spacing w:before="100" w:beforeAutospacing="1" w:after="100" w:afterAutospacing="1" w:line="360" w:lineRule="auto"/>
      <w:ind w:firstLine="200" w:firstLineChars="200"/>
      <w:jc w:val="left"/>
    </w:pPr>
    <w:rPr>
      <w:rFonts w:hint="eastAsia" w:ascii="宋体" w:hAnsi="宋体"/>
      <w:color w:val="000000"/>
      <w:kern w:val="0"/>
      <w:sz w:val="24"/>
    </w:rPr>
  </w:style>
  <w:style w:type="paragraph" w:customStyle="1" w:styleId="156">
    <w:name w:val="xl24"/>
    <w:basedOn w:val="1"/>
    <w:semiHidden/>
    <w:unhideWhenUsed/>
    <w:qFormat/>
    <w:uiPriority w:val="0"/>
    <w:pPr>
      <w:pBdr>
        <w:bottom w:val="single" w:color="auto" w:sz="8" w:space="0"/>
        <w:right w:val="single" w:color="auto" w:sz="8" w:space="0"/>
      </w:pBdr>
      <w:adjustRightInd w:val="0"/>
      <w:snapToGrid w:val="0"/>
      <w:spacing w:before="100" w:beforeAutospacing="1" w:after="100" w:afterAutospacing="1" w:line="360" w:lineRule="auto"/>
      <w:ind w:firstLine="200" w:firstLineChars="200"/>
      <w:jc w:val="center"/>
    </w:pPr>
    <w:rPr>
      <w:rFonts w:ascii="宋体" w:hAnsi="宋体"/>
      <w:color w:val="000000"/>
      <w:kern w:val="0"/>
      <w:sz w:val="24"/>
    </w:rPr>
  </w:style>
  <w:style w:type="paragraph" w:customStyle="1" w:styleId="157">
    <w:name w:val="xl25"/>
    <w:basedOn w:val="1"/>
    <w:semiHidden/>
    <w:unhideWhenUsed/>
    <w:qFormat/>
    <w:uiPriority w:val="0"/>
    <w:pPr>
      <w:pBdr>
        <w:bottom w:val="single" w:color="auto" w:sz="8" w:space="0"/>
        <w:right w:val="single" w:color="auto" w:sz="8" w:space="0"/>
      </w:pBdr>
      <w:adjustRightInd w:val="0"/>
      <w:snapToGrid w:val="0"/>
      <w:spacing w:before="100" w:beforeAutospacing="1" w:after="100" w:afterAutospacing="1" w:line="360" w:lineRule="auto"/>
      <w:ind w:firstLine="200" w:firstLineChars="200"/>
    </w:pPr>
    <w:rPr>
      <w:rFonts w:ascii="宋体" w:hAnsi="宋体"/>
      <w:color w:val="000000"/>
      <w:kern w:val="0"/>
      <w:sz w:val="24"/>
    </w:rPr>
  </w:style>
  <w:style w:type="paragraph" w:customStyle="1" w:styleId="158">
    <w:name w:val="xl27"/>
    <w:basedOn w:val="1"/>
    <w:semiHidden/>
    <w:unhideWhenUsed/>
    <w:qFormat/>
    <w:uiPriority w:val="0"/>
    <w:pPr>
      <w:pBdr>
        <w:left w:val="single" w:color="auto" w:sz="8" w:space="0"/>
        <w:bottom w:val="single" w:color="auto" w:sz="8" w:space="0"/>
        <w:right w:val="single" w:color="auto" w:sz="8" w:space="0"/>
      </w:pBdr>
      <w:adjustRightInd w:val="0"/>
      <w:snapToGrid w:val="0"/>
      <w:spacing w:before="100" w:beforeAutospacing="1" w:after="100" w:afterAutospacing="1" w:line="360" w:lineRule="auto"/>
      <w:ind w:firstLine="200" w:firstLineChars="200"/>
      <w:jc w:val="center"/>
      <w:textAlignment w:val="top"/>
    </w:pPr>
    <w:rPr>
      <w:rFonts w:ascii="宋体" w:hAnsi="宋体"/>
      <w:color w:val="000000"/>
      <w:kern w:val="0"/>
      <w:sz w:val="24"/>
    </w:rPr>
  </w:style>
  <w:style w:type="paragraph" w:customStyle="1" w:styleId="159">
    <w:name w:val="xl28"/>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olor w:val="000000"/>
      <w:kern w:val="0"/>
      <w:sz w:val="24"/>
    </w:rPr>
  </w:style>
  <w:style w:type="paragraph" w:customStyle="1" w:styleId="160">
    <w:name w:val="xl2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textAlignment w:val="top"/>
    </w:pPr>
    <w:rPr>
      <w:rFonts w:ascii="宋体" w:hAnsi="宋体"/>
      <w:color w:val="000000"/>
      <w:kern w:val="0"/>
      <w:sz w:val="24"/>
    </w:rPr>
  </w:style>
  <w:style w:type="paragraph" w:customStyle="1" w:styleId="161">
    <w:name w:val="xl30"/>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pPr>
    <w:rPr>
      <w:rFonts w:ascii="宋体" w:hAnsi="宋体"/>
      <w:color w:val="000000"/>
      <w:kern w:val="0"/>
      <w:sz w:val="24"/>
    </w:rPr>
  </w:style>
  <w:style w:type="paragraph" w:customStyle="1" w:styleId="162">
    <w:name w:val="xl31"/>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textAlignment w:val="top"/>
    </w:pPr>
    <w:rPr>
      <w:rFonts w:ascii="宋体" w:hAnsi="宋体"/>
      <w:color w:val="000000"/>
      <w:kern w:val="0"/>
      <w:sz w:val="24"/>
    </w:rPr>
  </w:style>
  <w:style w:type="paragraph" w:customStyle="1" w:styleId="163">
    <w:name w:val="xl32"/>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kern w:val="0"/>
      <w:sz w:val="24"/>
    </w:rPr>
  </w:style>
  <w:style w:type="paragraph" w:customStyle="1" w:styleId="164">
    <w:name w:val="xl33"/>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kern w:val="0"/>
      <w:sz w:val="24"/>
    </w:rPr>
  </w:style>
  <w:style w:type="paragraph" w:customStyle="1" w:styleId="165">
    <w:name w:val="123"/>
    <w:basedOn w:val="1"/>
    <w:link w:val="166"/>
    <w:semiHidden/>
    <w:unhideWhenUsed/>
    <w:qFormat/>
    <w:uiPriority w:val="0"/>
    <w:pPr>
      <w:adjustRightInd w:val="0"/>
      <w:snapToGrid w:val="0"/>
      <w:spacing w:line="480" w:lineRule="exact"/>
      <w:ind w:firstLine="480" w:firstLineChars="200"/>
    </w:pPr>
    <w:rPr>
      <w:rFonts w:ascii="Arial" w:hAnsi="Arial"/>
      <w:kern w:val="0"/>
      <w:sz w:val="24"/>
    </w:rPr>
  </w:style>
  <w:style w:type="character" w:customStyle="1" w:styleId="166">
    <w:name w:val="123 Char"/>
    <w:link w:val="165"/>
    <w:semiHidden/>
    <w:qFormat/>
    <w:uiPriority w:val="0"/>
    <w:rPr>
      <w:rFonts w:ascii="Arial" w:hAnsi="Arial"/>
      <w:sz w:val="24"/>
      <w:szCs w:val="24"/>
    </w:rPr>
  </w:style>
  <w:style w:type="paragraph" w:customStyle="1" w:styleId="167">
    <w:name w:val="无间隔1"/>
    <w:link w:val="303"/>
    <w:unhideWhenUsed/>
    <w:qFormat/>
    <w:uiPriority w:val="0"/>
    <w:pPr>
      <w:widowControl w:val="0"/>
      <w:spacing w:after="200" w:line="276" w:lineRule="auto"/>
      <w:jc w:val="both"/>
    </w:pPr>
    <w:rPr>
      <w:rFonts w:ascii="Calibri" w:hAnsi="Calibri" w:eastAsia="宋体" w:cs="Times New Roman"/>
      <w:kern w:val="2"/>
      <w:sz w:val="21"/>
      <w:szCs w:val="22"/>
      <w:lang w:val="en-US" w:eastAsia="zh-CN" w:bidi="he-IL"/>
    </w:rPr>
  </w:style>
  <w:style w:type="character" w:customStyle="1" w:styleId="168">
    <w:name w:val="不明显强调1"/>
    <w:semiHidden/>
    <w:unhideWhenUsed/>
    <w:qFormat/>
    <w:uiPriority w:val="0"/>
    <w:rPr>
      <w:i/>
      <w:iCs/>
      <w:color w:val="808080"/>
    </w:rPr>
  </w:style>
  <w:style w:type="paragraph" w:customStyle="1" w:styleId="169">
    <w:name w:val="TOC 标题1"/>
    <w:basedOn w:val="4"/>
    <w:next w:val="1"/>
    <w:semiHidden/>
    <w:unhideWhenUsed/>
    <w:qFormat/>
    <w:uiPriority w:val="39"/>
    <w:pPr>
      <w:keepNext w:val="0"/>
      <w:keepLines w:val="0"/>
      <w:adjustRightInd w:val="0"/>
      <w:snapToGrid w:val="0"/>
      <w:spacing w:beforeLines="150" w:afterLines="150" w:line="276" w:lineRule="auto"/>
      <w:jc w:val="left"/>
      <w:outlineLvl w:val="9"/>
    </w:pPr>
    <w:rPr>
      <w:rFonts w:ascii="Cambria" w:hAnsi="Cambria" w:eastAsia="黑体"/>
      <w:b w:val="0"/>
      <w:color w:val="365F91"/>
      <w:kern w:val="0"/>
      <w:sz w:val="28"/>
      <w:szCs w:val="28"/>
    </w:rPr>
  </w:style>
  <w:style w:type="paragraph" w:customStyle="1" w:styleId="170">
    <w:name w:val="样式4"/>
    <w:basedOn w:val="7"/>
    <w:semiHidden/>
    <w:unhideWhenUsed/>
    <w:qFormat/>
    <w:uiPriority w:val="0"/>
    <w:pPr>
      <w:keepNext w:val="0"/>
      <w:keepLines w:val="0"/>
      <w:tabs>
        <w:tab w:val="clear" w:pos="1674"/>
      </w:tabs>
      <w:adjustRightInd w:val="0"/>
      <w:snapToGrid w:val="0"/>
      <w:spacing w:before="260" w:after="260" w:line="415" w:lineRule="auto"/>
      <w:ind w:left="0" w:leftChars="0" w:right="0" w:rightChars="0"/>
      <w:jc w:val="both"/>
    </w:pPr>
    <w:rPr>
      <w:rFonts w:ascii="Times New Roman" w:hAnsi="Times New Roman" w:eastAsia="Arial"/>
      <w:bCs w:val="0"/>
      <w:color w:val="000000"/>
      <w:kern w:val="0"/>
      <w:sz w:val="32"/>
      <w:szCs w:val="32"/>
    </w:rPr>
  </w:style>
  <w:style w:type="character" w:customStyle="1" w:styleId="171">
    <w:name w:val="段 Char"/>
    <w:link w:val="141"/>
    <w:semiHidden/>
    <w:qFormat/>
    <w:uiPriority w:val="0"/>
    <w:rPr>
      <w:rFonts w:ascii="宋体" w:hAnsi="Calibri"/>
      <w:sz w:val="21"/>
      <w:szCs w:val="22"/>
      <w:lang w:bidi="ar-SA"/>
    </w:rPr>
  </w:style>
  <w:style w:type="character" w:customStyle="1" w:styleId="172">
    <w:name w:val="纯文本 Char2"/>
    <w:semiHidden/>
    <w:unhideWhenUsed/>
    <w:qFormat/>
    <w:uiPriority w:val="0"/>
    <w:rPr>
      <w:rFonts w:ascii="宋体" w:hAnsi="Courier New" w:eastAsia="宋体"/>
      <w:kern w:val="2"/>
      <w:sz w:val="21"/>
      <w:lang w:val="en-US" w:eastAsia="zh-CN" w:bidi="ar-SA"/>
    </w:rPr>
  </w:style>
  <w:style w:type="paragraph" w:customStyle="1" w:styleId="173">
    <w:name w:val="Char Char1 Char1"/>
    <w:basedOn w:val="1"/>
    <w:semiHidden/>
    <w:unhideWhenUsed/>
    <w:qFormat/>
    <w:uiPriority w:val="0"/>
    <w:pPr>
      <w:adjustRightInd w:val="0"/>
      <w:snapToGrid w:val="0"/>
      <w:spacing w:line="360" w:lineRule="auto"/>
      <w:ind w:firstLine="200" w:firstLineChars="200"/>
    </w:pPr>
    <w:rPr>
      <w:kern w:val="0"/>
    </w:rPr>
  </w:style>
  <w:style w:type="paragraph" w:customStyle="1" w:styleId="174">
    <w:name w:val="默认段落字体 Para Char Char Char Char"/>
    <w:basedOn w:val="1"/>
    <w:semiHidden/>
    <w:unhideWhenUsed/>
    <w:qFormat/>
    <w:uiPriority w:val="0"/>
    <w:pPr>
      <w:adjustRightInd w:val="0"/>
      <w:snapToGrid w:val="0"/>
      <w:spacing w:line="360" w:lineRule="atLeast"/>
      <w:ind w:firstLine="200" w:firstLineChars="200"/>
      <w:textAlignment w:val="baseline"/>
    </w:pPr>
    <w:rPr>
      <w:rFonts w:ascii="宋体" w:hAnsi="宋体"/>
      <w:b/>
      <w:color w:val="000000"/>
      <w:kern w:val="0"/>
      <w:sz w:val="24"/>
    </w:rPr>
  </w:style>
  <w:style w:type="paragraph" w:customStyle="1" w:styleId="175">
    <w:name w:val="样式 标题 5 + 居中"/>
    <w:basedOn w:val="9"/>
    <w:semiHidden/>
    <w:unhideWhenUsed/>
    <w:qFormat/>
    <w:uiPriority w:val="0"/>
    <w:pPr>
      <w:keepLines/>
      <w:tabs>
        <w:tab w:val="clear" w:pos="-1710"/>
        <w:tab w:val="clear" w:pos="-1440"/>
      </w:tabs>
      <w:adjustRightInd w:val="0"/>
      <w:snapToGrid w:val="0"/>
      <w:spacing w:before="120" w:after="120" w:line="360" w:lineRule="auto"/>
      <w:ind w:left="0" w:firstLine="200" w:firstLineChars="200"/>
    </w:pPr>
    <w:rPr>
      <w:rFonts w:ascii="Cambria" w:hAnsi="Cambria" w:eastAsia="仿宋_GB2312" w:cs="宋体"/>
      <w:b w:val="0"/>
      <w:color w:val="244061"/>
      <w:kern w:val="0"/>
      <w:sz w:val="21"/>
    </w:rPr>
  </w:style>
  <w:style w:type="paragraph" w:customStyle="1" w:styleId="176">
    <w:name w:val="Char Char1 Char Char Char Char Char Char Char Char Char Char Char Char Char Char Char"/>
    <w:basedOn w:val="1"/>
    <w:semiHidden/>
    <w:unhideWhenUsed/>
    <w:qFormat/>
    <w:uiPriority w:val="0"/>
    <w:pPr>
      <w:adjustRightInd w:val="0"/>
      <w:snapToGrid w:val="0"/>
      <w:spacing w:after="160" w:line="240" w:lineRule="exact"/>
      <w:ind w:firstLine="200" w:firstLineChars="200"/>
      <w:jc w:val="left"/>
    </w:pPr>
    <w:rPr>
      <w:rFonts w:ascii="Verdana" w:hAnsi="Verdana"/>
      <w:kern w:val="0"/>
      <w:sz w:val="20"/>
      <w:szCs w:val="22"/>
      <w:lang w:eastAsia="en-US"/>
    </w:rPr>
  </w:style>
  <w:style w:type="paragraph" w:customStyle="1" w:styleId="177">
    <w:name w:val="条款正文（三级标题）"/>
    <w:basedOn w:val="7"/>
    <w:semiHidden/>
    <w:unhideWhenUsed/>
    <w:qFormat/>
    <w:uiPriority w:val="0"/>
    <w:pPr>
      <w:keepNext w:val="0"/>
      <w:keepLines w:val="0"/>
      <w:tabs>
        <w:tab w:val="left" w:pos="840"/>
        <w:tab w:val="clear" w:pos="1674"/>
      </w:tabs>
      <w:adjustRightInd w:val="0"/>
      <w:snapToGrid w:val="0"/>
      <w:spacing w:line="360" w:lineRule="auto"/>
      <w:ind w:left="0" w:leftChars="0" w:right="0" w:rightChars="0"/>
      <w:jc w:val="both"/>
      <w:textAlignment w:val="baseline"/>
    </w:pPr>
    <w:rPr>
      <w:rFonts w:ascii="Arial" w:hAnsi="Arial" w:eastAsia="黑体"/>
      <w:b/>
      <w:snapToGrid w:val="0"/>
      <w:color w:val="000000"/>
      <w:kern w:val="24"/>
      <w:sz w:val="21"/>
      <w:szCs w:val="21"/>
    </w:rPr>
  </w:style>
  <w:style w:type="paragraph" w:customStyle="1" w:styleId="178">
    <w:name w:val="条款正文（四级标题）"/>
    <w:basedOn w:val="8"/>
    <w:semiHidden/>
    <w:unhideWhenUsed/>
    <w:qFormat/>
    <w:uiPriority w:val="0"/>
    <w:pPr>
      <w:keepNext w:val="0"/>
      <w:keepLines w:val="0"/>
      <w:tabs>
        <w:tab w:val="left" w:pos="851"/>
      </w:tabs>
      <w:adjustRightInd w:val="0"/>
      <w:snapToGrid w:val="0"/>
      <w:spacing w:before="0" w:after="120" w:line="360" w:lineRule="auto"/>
      <w:ind w:firstLine="200" w:firstLineChars="200"/>
    </w:pPr>
    <w:rPr>
      <w:rFonts w:ascii="Cambria" w:hAnsi="Cambria" w:eastAsia="宋体"/>
      <w:b w:val="0"/>
      <w:bCs w:val="0"/>
      <w:i/>
      <w:iCs/>
      <w:color w:val="000000"/>
      <w:kern w:val="0"/>
      <w:sz w:val="21"/>
      <w:szCs w:val="20"/>
    </w:rPr>
  </w:style>
  <w:style w:type="paragraph" w:customStyle="1" w:styleId="179">
    <w:name w:val="表格1"/>
    <w:basedOn w:val="1"/>
    <w:semiHidden/>
    <w:unhideWhenUsed/>
    <w:qFormat/>
    <w:uiPriority w:val="0"/>
    <w:pPr>
      <w:adjustRightInd w:val="0"/>
      <w:snapToGrid w:val="0"/>
      <w:spacing w:before="80" w:after="80" w:line="360" w:lineRule="auto"/>
      <w:ind w:firstLine="200" w:firstLineChars="200"/>
      <w:jc w:val="center"/>
      <w:textAlignment w:val="baseline"/>
    </w:pPr>
    <w:rPr>
      <w:kern w:val="24"/>
      <w:szCs w:val="22"/>
    </w:rPr>
  </w:style>
  <w:style w:type="character" w:customStyle="1" w:styleId="180">
    <w:name w:val="尾注文本 Char1"/>
    <w:semiHidden/>
    <w:unhideWhenUsed/>
    <w:qFormat/>
    <w:uiPriority w:val="99"/>
    <w:rPr>
      <w:kern w:val="2"/>
      <w:sz w:val="21"/>
      <w:lang w:bidi="he-IL"/>
    </w:rPr>
  </w:style>
  <w:style w:type="paragraph" w:customStyle="1" w:styleId="181">
    <w:name w:val="编号正文"/>
    <w:basedOn w:val="1"/>
    <w:semiHidden/>
    <w:unhideWhenUsed/>
    <w:qFormat/>
    <w:uiPriority w:val="0"/>
    <w:pPr>
      <w:tabs>
        <w:tab w:val="left" w:pos="1021"/>
      </w:tabs>
      <w:adjustRightInd w:val="0"/>
      <w:snapToGrid w:val="0"/>
      <w:spacing w:line="360" w:lineRule="auto"/>
      <w:ind w:firstLine="420" w:firstLineChars="200"/>
      <w:textAlignment w:val="baseline"/>
    </w:pPr>
    <w:rPr>
      <w:rFonts w:ascii="宋体" w:hAnsi="宋体"/>
      <w:kern w:val="24"/>
      <w:szCs w:val="22"/>
    </w:rPr>
  </w:style>
  <w:style w:type="paragraph" w:customStyle="1" w:styleId="182">
    <w:name w:val="表头文字"/>
    <w:basedOn w:val="1"/>
    <w:semiHidden/>
    <w:unhideWhenUsed/>
    <w:qFormat/>
    <w:uiPriority w:val="0"/>
    <w:pPr>
      <w:keepNext/>
      <w:adjustRightInd w:val="0"/>
      <w:snapToGrid w:val="0"/>
      <w:spacing w:line="360" w:lineRule="auto"/>
      <w:ind w:right="130" w:firstLine="200" w:firstLineChars="200"/>
      <w:jc w:val="center"/>
      <w:textAlignment w:val="baseline"/>
      <w:outlineLvl w:val="0"/>
    </w:pPr>
    <w:rPr>
      <w:rFonts w:ascii="宋体"/>
      <w:kern w:val="24"/>
      <w:sz w:val="24"/>
      <w:szCs w:val="22"/>
    </w:rPr>
  </w:style>
  <w:style w:type="paragraph" w:customStyle="1" w:styleId="183">
    <w:name w:val="普通 (Web)"/>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kern w:val="0"/>
      <w:sz w:val="24"/>
    </w:rPr>
  </w:style>
  <w:style w:type="paragraph" w:customStyle="1" w:styleId="184">
    <w:name w:val="Default"/>
    <w:semiHidden/>
    <w:unhideWhenUsed/>
    <w:qFormat/>
    <w:uiPriority w:val="0"/>
    <w:pPr>
      <w:widowControl w:val="0"/>
      <w:autoSpaceDE w:val="0"/>
      <w:autoSpaceDN w:val="0"/>
      <w:adjustRightInd w:val="0"/>
      <w:spacing w:after="200" w:line="276" w:lineRule="auto"/>
    </w:pPr>
    <w:rPr>
      <w:rFonts w:ascii="Arial" w:hAnsi="Arial" w:eastAsia="宋体" w:cs="Arial"/>
      <w:sz w:val="22"/>
      <w:szCs w:val="22"/>
      <w:lang w:val="en-US" w:eastAsia="zh-CN" w:bidi="ar-SA"/>
    </w:rPr>
  </w:style>
  <w:style w:type="paragraph" w:customStyle="1" w:styleId="185">
    <w:name w:val="页眉1"/>
    <w:basedOn w:val="33"/>
    <w:semiHidden/>
    <w:unhideWhenUsed/>
    <w:qFormat/>
    <w:uiPriority w:val="0"/>
    <w:pPr>
      <w:pBdr>
        <w:bottom w:val="none" w:color="auto" w:sz="0" w:space="0"/>
      </w:pBdr>
      <w:adjustRightInd w:val="0"/>
      <w:snapToGrid/>
      <w:spacing w:line="240" w:lineRule="atLeast"/>
      <w:ind w:firstLine="482" w:firstLineChars="200"/>
      <w:jc w:val="both"/>
    </w:pPr>
    <w:rPr>
      <w:kern w:val="0"/>
      <w:szCs w:val="20"/>
    </w:rPr>
  </w:style>
  <w:style w:type="paragraph" w:customStyle="1" w:styleId="186">
    <w:name w:val="范表格1"/>
    <w:basedOn w:val="1"/>
    <w:next w:val="1"/>
    <w:semiHidden/>
    <w:unhideWhenUsed/>
    <w:qFormat/>
    <w:uiPriority w:val="0"/>
    <w:pPr>
      <w:adjustRightInd w:val="0"/>
      <w:snapToGrid w:val="0"/>
      <w:spacing w:before="60" w:after="20" w:line="360" w:lineRule="auto"/>
      <w:ind w:firstLine="200" w:firstLineChars="200"/>
      <w:jc w:val="left"/>
    </w:pPr>
    <w:rPr>
      <w:kern w:val="0"/>
      <w:szCs w:val="22"/>
    </w:rPr>
  </w:style>
  <w:style w:type="paragraph" w:customStyle="1" w:styleId="187">
    <w:name w:val="表"/>
    <w:basedOn w:val="1"/>
    <w:semiHidden/>
    <w:unhideWhenUsed/>
    <w:qFormat/>
    <w:uiPriority w:val="0"/>
    <w:pPr>
      <w:adjustRightInd w:val="0"/>
      <w:snapToGrid w:val="0"/>
      <w:spacing w:line="360" w:lineRule="auto"/>
      <w:ind w:firstLine="200" w:firstLineChars="200"/>
    </w:pPr>
    <w:rPr>
      <w:kern w:val="24"/>
      <w:sz w:val="24"/>
      <w:szCs w:val="22"/>
    </w:rPr>
  </w:style>
  <w:style w:type="paragraph" w:customStyle="1" w:styleId="188">
    <w:name w:val="表头"/>
    <w:basedOn w:val="1"/>
    <w:semiHidden/>
    <w:unhideWhenUsed/>
    <w:qFormat/>
    <w:uiPriority w:val="0"/>
    <w:pPr>
      <w:adjustRightInd w:val="0"/>
      <w:snapToGrid w:val="0"/>
      <w:spacing w:line="360" w:lineRule="auto"/>
      <w:ind w:firstLine="482" w:firstLineChars="200"/>
    </w:pPr>
    <w:rPr>
      <w:rFonts w:eastAsia="黑体"/>
      <w:kern w:val="24"/>
      <w:sz w:val="24"/>
      <w:szCs w:val="22"/>
    </w:rPr>
  </w:style>
  <w:style w:type="paragraph" w:customStyle="1" w:styleId="189">
    <w:name w:val="正文3"/>
    <w:basedOn w:val="1"/>
    <w:next w:val="1"/>
    <w:semiHidden/>
    <w:unhideWhenUsed/>
    <w:qFormat/>
    <w:uiPriority w:val="0"/>
    <w:pPr>
      <w:adjustRightInd w:val="0"/>
      <w:snapToGrid w:val="0"/>
      <w:spacing w:line="360" w:lineRule="auto"/>
      <w:ind w:firstLine="200" w:firstLineChars="200"/>
    </w:pPr>
    <w:rPr>
      <w:kern w:val="0"/>
      <w:sz w:val="24"/>
      <w:szCs w:val="22"/>
    </w:rPr>
  </w:style>
  <w:style w:type="character" w:customStyle="1" w:styleId="190">
    <w:name w:val="unnamed11"/>
    <w:semiHidden/>
    <w:unhideWhenUsed/>
    <w:qFormat/>
    <w:uiPriority w:val="0"/>
    <w:rPr>
      <w:sz w:val="21"/>
      <w:szCs w:val="21"/>
    </w:rPr>
  </w:style>
  <w:style w:type="paragraph" w:customStyle="1" w:styleId="191">
    <w:name w:val="font0"/>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192">
    <w:name w:val="font8"/>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193">
    <w:name w:val="font9"/>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color w:val="000000"/>
      <w:kern w:val="0"/>
      <w:sz w:val="24"/>
    </w:rPr>
  </w:style>
  <w:style w:type="paragraph" w:customStyle="1" w:styleId="194">
    <w:name w:val="font10"/>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kern w:val="0"/>
      <w:sz w:val="20"/>
      <w:szCs w:val="22"/>
    </w:rPr>
  </w:style>
  <w:style w:type="paragraph" w:customStyle="1" w:styleId="195">
    <w:name w:val="font11"/>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Arial" w:hAnsi="Arial" w:cs="Arial"/>
      <w:b/>
      <w:bCs/>
      <w:kern w:val="0"/>
      <w:sz w:val="24"/>
    </w:rPr>
  </w:style>
  <w:style w:type="paragraph" w:customStyle="1" w:styleId="196">
    <w:name w:val="font12"/>
    <w:basedOn w:val="1"/>
    <w:semiHidden/>
    <w:unhideWhenUsed/>
    <w:qFormat/>
    <w:uiPriority w:val="0"/>
    <w:pPr>
      <w:adjustRightInd w:val="0"/>
      <w:snapToGrid w:val="0"/>
      <w:spacing w:before="100" w:beforeAutospacing="1" w:after="100" w:afterAutospacing="1" w:line="360" w:lineRule="auto"/>
      <w:ind w:firstLine="200" w:firstLineChars="200"/>
      <w:jc w:val="left"/>
    </w:pPr>
    <w:rPr>
      <w:b/>
      <w:bCs/>
      <w:kern w:val="0"/>
      <w:sz w:val="32"/>
      <w:szCs w:val="32"/>
    </w:rPr>
  </w:style>
  <w:style w:type="paragraph" w:customStyle="1" w:styleId="197">
    <w:name w:val="font13"/>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Arial" w:hAnsi="Arial" w:cs="Arial"/>
      <w:kern w:val="0"/>
      <w:sz w:val="20"/>
      <w:szCs w:val="22"/>
    </w:rPr>
  </w:style>
  <w:style w:type="paragraph" w:customStyle="1" w:styleId="198">
    <w:name w:val="font14"/>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Arial" w:hAnsi="Arial" w:cs="Arial"/>
      <w:color w:val="000000"/>
      <w:kern w:val="0"/>
      <w:sz w:val="24"/>
    </w:rPr>
  </w:style>
  <w:style w:type="paragraph" w:customStyle="1" w:styleId="199">
    <w:name w:val="font15"/>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00">
    <w:name w:val="font16"/>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201">
    <w:name w:val="font17"/>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202">
    <w:name w:val="font18"/>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03">
    <w:name w:val="xl37"/>
    <w:basedOn w:val="1"/>
    <w:semiHidden/>
    <w:unhideWhenUsed/>
    <w:qFormat/>
    <w:uiPriority w:val="0"/>
    <w:pPr>
      <w:pBdr>
        <w:bottom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204">
    <w:name w:val="xl38"/>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color w:val="000000"/>
      <w:kern w:val="0"/>
      <w:sz w:val="24"/>
    </w:rPr>
  </w:style>
  <w:style w:type="paragraph" w:customStyle="1" w:styleId="205">
    <w:name w:val="xl3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color w:val="000000"/>
      <w:kern w:val="0"/>
      <w:sz w:val="24"/>
    </w:rPr>
  </w:style>
  <w:style w:type="paragraph" w:customStyle="1" w:styleId="206">
    <w:name w:val="xl40"/>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center"/>
    </w:pPr>
    <w:rPr>
      <w:rFonts w:ascii="宋体" w:hAnsi="宋体" w:cs="宋体"/>
      <w:color w:val="000000"/>
      <w:kern w:val="0"/>
      <w:sz w:val="24"/>
    </w:rPr>
  </w:style>
  <w:style w:type="paragraph" w:customStyle="1" w:styleId="207">
    <w:name w:val="xl41"/>
    <w:basedOn w:val="1"/>
    <w:semiHidden/>
    <w:unhideWhenUsed/>
    <w:qFormat/>
    <w:uiPriority w:val="0"/>
    <w:pP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08">
    <w:name w:val="xl42"/>
    <w:basedOn w:val="1"/>
    <w:semiHidden/>
    <w:unhideWhenUsed/>
    <w:qFormat/>
    <w:uiPriority w:val="0"/>
    <w:pPr>
      <w:pBdr>
        <w:bottom w:val="single" w:color="auto" w:sz="4" w:space="0"/>
      </w:pBdr>
      <w:adjustRightInd w:val="0"/>
      <w:snapToGrid w:val="0"/>
      <w:spacing w:before="100" w:beforeAutospacing="1" w:after="100" w:afterAutospacing="1" w:line="360" w:lineRule="auto"/>
      <w:ind w:firstLine="200" w:firstLineChars="200"/>
      <w:jc w:val="left"/>
    </w:pPr>
    <w:rPr>
      <w:rFonts w:ascii="Arial" w:hAnsi="Arial" w:cs="Arial"/>
      <w:b/>
      <w:bCs/>
      <w:kern w:val="0"/>
      <w:sz w:val="24"/>
    </w:rPr>
  </w:style>
  <w:style w:type="paragraph" w:customStyle="1" w:styleId="209">
    <w:name w:val="xl43"/>
    <w:basedOn w:val="1"/>
    <w:semiHidden/>
    <w:unhideWhenUsed/>
    <w:qFormat/>
    <w:uiPriority w:val="0"/>
    <w:pPr>
      <w:pBdr>
        <w:bottom w:val="single" w:color="auto" w:sz="4" w:space="0"/>
      </w:pBdr>
      <w:adjustRightInd w:val="0"/>
      <w:snapToGrid w:val="0"/>
      <w:spacing w:before="100" w:beforeAutospacing="1" w:after="100" w:afterAutospacing="1" w:line="360" w:lineRule="auto"/>
      <w:ind w:firstLine="200" w:firstLineChars="200"/>
      <w:jc w:val="right"/>
    </w:pPr>
    <w:rPr>
      <w:rFonts w:ascii="Arial" w:hAnsi="Arial" w:cs="Arial"/>
      <w:b/>
      <w:bCs/>
      <w:kern w:val="0"/>
      <w:sz w:val="24"/>
    </w:rPr>
  </w:style>
  <w:style w:type="paragraph" w:customStyle="1" w:styleId="210">
    <w:name w:val="xl44"/>
    <w:basedOn w:val="1"/>
    <w:semiHidden/>
    <w:unhideWhenUsed/>
    <w:qFormat/>
    <w:uiPriority w:val="0"/>
    <w:pPr>
      <w:adjustRightInd w:val="0"/>
      <w:snapToGrid w:val="0"/>
      <w:spacing w:before="100" w:beforeAutospacing="1" w:after="100" w:afterAutospacing="1" w:line="360" w:lineRule="auto"/>
      <w:ind w:firstLine="200" w:firstLineChars="200"/>
      <w:jc w:val="center"/>
    </w:pPr>
    <w:rPr>
      <w:rFonts w:ascii="Arial" w:hAnsi="Arial" w:cs="Arial"/>
      <w:b/>
      <w:bCs/>
      <w:kern w:val="0"/>
      <w:sz w:val="24"/>
    </w:rPr>
  </w:style>
  <w:style w:type="paragraph" w:customStyle="1" w:styleId="211">
    <w:name w:val="xl45"/>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12">
    <w:name w:val="xl46"/>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13">
    <w:name w:val="xl47"/>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14">
    <w:name w:val="xl48"/>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15">
    <w:name w:val="xl4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color w:val="000000"/>
      <w:kern w:val="0"/>
      <w:sz w:val="24"/>
    </w:rPr>
  </w:style>
  <w:style w:type="paragraph" w:customStyle="1" w:styleId="216">
    <w:name w:val="xl50"/>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color w:val="000000"/>
      <w:kern w:val="0"/>
      <w:sz w:val="24"/>
    </w:rPr>
  </w:style>
  <w:style w:type="paragraph" w:customStyle="1" w:styleId="217">
    <w:name w:val="xl51"/>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center"/>
    </w:pPr>
    <w:rPr>
      <w:rFonts w:ascii="Arial" w:hAnsi="Arial" w:cs="Arial"/>
      <w:color w:val="000000"/>
      <w:kern w:val="0"/>
      <w:sz w:val="24"/>
    </w:rPr>
  </w:style>
  <w:style w:type="paragraph" w:customStyle="1" w:styleId="218">
    <w:name w:val="xl52"/>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color w:val="FF0000"/>
      <w:kern w:val="0"/>
      <w:sz w:val="24"/>
    </w:rPr>
  </w:style>
  <w:style w:type="paragraph" w:customStyle="1" w:styleId="219">
    <w:name w:val="xl53"/>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20">
    <w:name w:val="xl54"/>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21">
    <w:name w:val="xl55"/>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22">
    <w:name w:val="xl56"/>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2"/>
      <w:szCs w:val="22"/>
    </w:rPr>
  </w:style>
  <w:style w:type="paragraph" w:customStyle="1" w:styleId="223">
    <w:name w:val="xl57"/>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24">
    <w:name w:val="xl58"/>
    <w:basedOn w:val="1"/>
    <w:semiHidden/>
    <w:unhideWhenUsed/>
    <w:qFormat/>
    <w:uiPriority w:val="0"/>
    <w:pPr>
      <w:pBdr>
        <w:bottom w:val="single" w:color="auto" w:sz="4" w:space="0"/>
      </w:pBdr>
      <w:adjustRightInd w:val="0"/>
      <w:snapToGrid w:val="0"/>
      <w:spacing w:before="100" w:beforeAutospacing="1" w:after="100" w:afterAutospacing="1" w:line="360" w:lineRule="auto"/>
      <w:ind w:firstLine="200" w:firstLineChars="200"/>
      <w:jc w:val="left"/>
    </w:pPr>
    <w:rPr>
      <w:rFonts w:ascii="Arial" w:hAnsi="Arial" w:cs="Arial"/>
      <w:b/>
      <w:bCs/>
      <w:kern w:val="0"/>
      <w:sz w:val="24"/>
    </w:rPr>
  </w:style>
  <w:style w:type="paragraph" w:customStyle="1" w:styleId="225">
    <w:name w:val="xl59"/>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26">
    <w:name w:val="xl60"/>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left"/>
    </w:pPr>
    <w:rPr>
      <w:rFonts w:ascii="Arial" w:hAnsi="Arial" w:cs="Arial"/>
      <w:color w:val="FF0000"/>
      <w:kern w:val="0"/>
      <w:sz w:val="24"/>
    </w:rPr>
  </w:style>
  <w:style w:type="paragraph" w:customStyle="1" w:styleId="227">
    <w:name w:val="xl61"/>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28">
    <w:name w:val="xl62"/>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29">
    <w:name w:val="xl63"/>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30">
    <w:name w:val="xl64"/>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31">
    <w:name w:val="xl65"/>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32">
    <w:name w:val="xl66"/>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33">
    <w:name w:val="xl67"/>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34">
    <w:name w:val="xl68"/>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35">
    <w:name w:val="xl6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36">
    <w:name w:val="xl70"/>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37">
    <w:name w:val="xl71"/>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38">
    <w:name w:val="xl72"/>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39">
    <w:name w:val="xl73"/>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40">
    <w:name w:val="xl74"/>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41">
    <w:name w:val="xl75"/>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42">
    <w:name w:val="xl76"/>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43">
    <w:name w:val="xl77"/>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44">
    <w:name w:val="xl78"/>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45">
    <w:name w:val="xl7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46">
    <w:name w:val="xl80"/>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47">
    <w:name w:val="xl81"/>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48">
    <w:name w:val="xl82"/>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49">
    <w:name w:val="xl83"/>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50">
    <w:name w:val="xl84"/>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51">
    <w:name w:val="xl85"/>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52">
    <w:name w:val="xl86"/>
    <w:basedOn w:val="1"/>
    <w:semiHidden/>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53">
    <w:name w:val="xl87"/>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54">
    <w:name w:val="xl88"/>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55">
    <w:name w:val="xl8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56">
    <w:name w:val="xl90"/>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57">
    <w:name w:val="xl91"/>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center"/>
    </w:pPr>
    <w:rPr>
      <w:rFonts w:ascii="宋体" w:hAnsi="宋体" w:cs="宋体"/>
      <w:kern w:val="0"/>
      <w:sz w:val="24"/>
    </w:rPr>
  </w:style>
  <w:style w:type="paragraph" w:customStyle="1" w:styleId="258">
    <w:name w:val="xl92"/>
    <w:basedOn w:val="1"/>
    <w:semiHidden/>
    <w:unhideWhenUsed/>
    <w:qFormat/>
    <w:uiPriority w:val="0"/>
    <w:pPr>
      <w:adjustRightInd w:val="0"/>
      <w:snapToGrid w:val="0"/>
      <w:spacing w:before="100" w:beforeAutospacing="1" w:after="100" w:afterAutospacing="1" w:line="360" w:lineRule="auto"/>
      <w:ind w:firstLine="200" w:firstLineChars="200"/>
      <w:jc w:val="center"/>
      <w:textAlignment w:val="bottom"/>
    </w:pPr>
    <w:rPr>
      <w:rFonts w:ascii="Arial" w:hAnsi="Arial" w:cs="Arial"/>
      <w:kern w:val="0"/>
      <w:sz w:val="24"/>
    </w:rPr>
  </w:style>
  <w:style w:type="paragraph" w:customStyle="1" w:styleId="259">
    <w:name w:val="xl93"/>
    <w:basedOn w:val="1"/>
    <w:semiHidden/>
    <w:unhideWhenUsed/>
    <w:qFormat/>
    <w:uiPriority w:val="0"/>
    <w:pPr>
      <w:adjustRightInd w:val="0"/>
      <w:snapToGrid w:val="0"/>
      <w:spacing w:before="100" w:beforeAutospacing="1" w:after="100" w:afterAutospacing="1" w:line="360" w:lineRule="auto"/>
      <w:ind w:firstLine="200" w:firstLineChars="200"/>
      <w:jc w:val="left"/>
      <w:textAlignment w:val="bottom"/>
    </w:pPr>
    <w:rPr>
      <w:rFonts w:ascii="Arial" w:hAnsi="Arial" w:cs="Arial"/>
      <w:kern w:val="0"/>
      <w:sz w:val="24"/>
    </w:rPr>
  </w:style>
  <w:style w:type="paragraph" w:customStyle="1" w:styleId="260">
    <w:name w:val="xl94"/>
    <w:basedOn w:val="1"/>
    <w:semiHidden/>
    <w:unhideWhenUsed/>
    <w:qFormat/>
    <w:uiPriority w:val="0"/>
    <w:pPr>
      <w:adjustRightInd w:val="0"/>
      <w:snapToGrid w:val="0"/>
      <w:spacing w:before="100" w:beforeAutospacing="1" w:after="100" w:afterAutospacing="1" w:line="360" w:lineRule="auto"/>
      <w:ind w:firstLine="200" w:firstLineChars="200"/>
      <w:jc w:val="center"/>
      <w:textAlignment w:val="bottom"/>
    </w:pPr>
    <w:rPr>
      <w:rFonts w:ascii="Arial" w:hAnsi="Arial" w:cs="Arial"/>
      <w:kern w:val="0"/>
      <w:sz w:val="24"/>
    </w:rPr>
  </w:style>
  <w:style w:type="paragraph" w:customStyle="1" w:styleId="261">
    <w:name w:val="xl95"/>
    <w:basedOn w:val="1"/>
    <w:semiHidden/>
    <w:unhideWhenUsed/>
    <w:qFormat/>
    <w:uiPriority w:val="0"/>
    <w:pPr>
      <w:adjustRightInd w:val="0"/>
      <w:snapToGrid w:val="0"/>
      <w:spacing w:before="100" w:beforeAutospacing="1" w:after="100" w:afterAutospacing="1" w:line="360" w:lineRule="auto"/>
      <w:ind w:firstLine="200" w:firstLineChars="200"/>
      <w:jc w:val="left"/>
      <w:textAlignment w:val="bottom"/>
    </w:pPr>
    <w:rPr>
      <w:rFonts w:ascii="Arial" w:hAnsi="Arial" w:cs="Arial"/>
      <w:kern w:val="0"/>
      <w:sz w:val="24"/>
    </w:rPr>
  </w:style>
  <w:style w:type="paragraph" w:customStyle="1" w:styleId="262">
    <w:name w:val="xl96"/>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63">
    <w:name w:val="xl97"/>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64">
    <w:name w:val="xl98"/>
    <w:basedOn w:val="1"/>
    <w:semiHidden/>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360" w:lineRule="auto"/>
      <w:ind w:firstLine="200" w:firstLineChars="200"/>
      <w:jc w:val="left"/>
    </w:pPr>
    <w:rPr>
      <w:rFonts w:ascii="宋体" w:hAnsi="宋体" w:cs="宋体"/>
      <w:color w:val="000000"/>
      <w:kern w:val="0"/>
      <w:sz w:val="24"/>
    </w:rPr>
  </w:style>
  <w:style w:type="paragraph" w:customStyle="1" w:styleId="265">
    <w:name w:val="xl99"/>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266">
    <w:name w:val="xl100"/>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rFonts w:ascii="Arial" w:hAnsi="Arial" w:cs="Arial"/>
      <w:kern w:val="0"/>
      <w:sz w:val="24"/>
    </w:rPr>
  </w:style>
  <w:style w:type="paragraph" w:customStyle="1" w:styleId="267">
    <w:name w:val="xl101"/>
    <w:basedOn w:val="1"/>
    <w:semiHidden/>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360" w:lineRule="auto"/>
      <w:ind w:firstLine="200" w:firstLineChars="200"/>
      <w:jc w:val="left"/>
    </w:pPr>
    <w:rPr>
      <w:rFonts w:ascii="Arial" w:hAnsi="Arial" w:cs="Arial"/>
      <w:kern w:val="0"/>
      <w:sz w:val="24"/>
    </w:rPr>
  </w:style>
  <w:style w:type="paragraph" w:customStyle="1" w:styleId="268">
    <w:name w:val="xl102"/>
    <w:basedOn w:val="1"/>
    <w:semiHidden/>
    <w:unhideWhenUsed/>
    <w:qFormat/>
    <w:uiPriority w:val="0"/>
    <w:pPr>
      <w:adjustRightInd w:val="0"/>
      <w:snapToGrid w:val="0"/>
      <w:spacing w:before="100" w:beforeAutospacing="1" w:after="100" w:afterAutospacing="1" w:line="360" w:lineRule="auto"/>
      <w:ind w:firstLine="200" w:firstLineChars="200"/>
      <w:jc w:val="left"/>
      <w:textAlignment w:val="bottom"/>
    </w:pPr>
    <w:rPr>
      <w:rFonts w:ascii="宋体" w:hAnsi="宋体" w:cs="宋体"/>
      <w:kern w:val="0"/>
      <w:sz w:val="22"/>
      <w:szCs w:val="22"/>
    </w:rPr>
  </w:style>
  <w:style w:type="paragraph" w:customStyle="1" w:styleId="269">
    <w:name w:val="xl103"/>
    <w:basedOn w:val="1"/>
    <w:semiHidden/>
    <w:unhideWhenUsed/>
    <w:qFormat/>
    <w:uiPriority w:val="0"/>
    <w:pPr>
      <w:adjustRightInd w:val="0"/>
      <w:snapToGrid w:val="0"/>
      <w:spacing w:before="100" w:beforeAutospacing="1" w:after="100" w:afterAutospacing="1" w:line="360" w:lineRule="auto"/>
      <w:ind w:firstLine="200" w:firstLineChars="200"/>
      <w:jc w:val="center"/>
    </w:pPr>
    <w:rPr>
      <w:rFonts w:ascii="宋体" w:hAnsi="宋体" w:cs="宋体"/>
      <w:b/>
      <w:bCs/>
      <w:kern w:val="0"/>
      <w:sz w:val="32"/>
      <w:szCs w:val="32"/>
    </w:rPr>
  </w:style>
  <w:style w:type="paragraph" w:customStyle="1" w:styleId="270">
    <w:name w:val="xl104"/>
    <w:basedOn w:val="1"/>
    <w:semiHidden/>
    <w:unhideWhenUsed/>
    <w:qFormat/>
    <w:uiPriority w:val="0"/>
    <w:pPr>
      <w:adjustRightInd w:val="0"/>
      <w:snapToGrid w:val="0"/>
      <w:spacing w:before="100" w:beforeAutospacing="1" w:after="100" w:afterAutospacing="1" w:line="360" w:lineRule="auto"/>
      <w:ind w:firstLine="200" w:firstLineChars="200"/>
      <w:jc w:val="center"/>
    </w:pPr>
    <w:rPr>
      <w:rFonts w:ascii="Arial" w:hAnsi="Arial" w:cs="Arial"/>
      <w:b/>
      <w:bCs/>
      <w:kern w:val="0"/>
      <w:sz w:val="32"/>
      <w:szCs w:val="32"/>
    </w:rPr>
  </w:style>
  <w:style w:type="paragraph" w:customStyle="1" w:styleId="271">
    <w:name w:val="本文格式"/>
    <w:basedOn w:val="1"/>
    <w:semiHidden/>
    <w:unhideWhenUsed/>
    <w:qFormat/>
    <w:uiPriority w:val="0"/>
    <w:pPr>
      <w:adjustRightInd w:val="0"/>
      <w:snapToGrid w:val="0"/>
      <w:spacing w:line="360" w:lineRule="exact"/>
      <w:ind w:firstLine="476" w:firstLineChars="200"/>
      <w:textAlignment w:val="baseline"/>
    </w:pPr>
    <w:rPr>
      <w:rFonts w:cs="宋体"/>
      <w:kern w:val="0"/>
      <w:sz w:val="24"/>
    </w:rPr>
  </w:style>
  <w:style w:type="paragraph" w:customStyle="1" w:styleId="272">
    <w:name w:val="图表标题"/>
    <w:basedOn w:val="1"/>
    <w:next w:val="1"/>
    <w:semiHidden/>
    <w:unhideWhenUsed/>
    <w:qFormat/>
    <w:uiPriority w:val="0"/>
    <w:pPr>
      <w:adjustRightInd w:val="0"/>
      <w:snapToGrid w:val="0"/>
      <w:spacing w:line="360" w:lineRule="auto"/>
      <w:ind w:firstLine="200" w:firstLineChars="200"/>
      <w:jc w:val="center"/>
    </w:pPr>
    <w:rPr>
      <w:rFonts w:ascii="黑体" w:eastAsia="黑体"/>
      <w:bCs/>
      <w:kern w:val="0"/>
      <w:szCs w:val="21"/>
    </w:rPr>
  </w:style>
  <w:style w:type="paragraph" w:customStyle="1" w:styleId="273">
    <w:name w:val="表格正文居中"/>
    <w:basedOn w:val="1"/>
    <w:semiHidden/>
    <w:unhideWhenUsed/>
    <w:qFormat/>
    <w:uiPriority w:val="0"/>
    <w:pPr>
      <w:adjustRightInd w:val="0"/>
      <w:snapToGrid w:val="0"/>
      <w:spacing w:line="360" w:lineRule="auto"/>
      <w:ind w:firstLine="200" w:firstLineChars="200"/>
      <w:jc w:val="center"/>
    </w:pPr>
    <w:rPr>
      <w:kern w:val="0"/>
      <w:szCs w:val="21"/>
    </w:rPr>
  </w:style>
  <w:style w:type="paragraph" w:customStyle="1" w:styleId="274">
    <w:name w:val="图"/>
    <w:basedOn w:val="1"/>
    <w:next w:val="1"/>
    <w:semiHidden/>
    <w:unhideWhenUsed/>
    <w:qFormat/>
    <w:uiPriority w:val="0"/>
    <w:pPr>
      <w:adjustRightInd w:val="0"/>
      <w:snapToGrid w:val="0"/>
      <w:spacing w:line="360" w:lineRule="auto"/>
      <w:ind w:firstLine="200" w:firstLineChars="200"/>
      <w:jc w:val="center"/>
      <w:textAlignment w:val="baseline"/>
    </w:pPr>
    <w:rPr>
      <w:rFonts w:ascii="宋体"/>
      <w:b/>
      <w:kern w:val="0"/>
      <w:szCs w:val="22"/>
    </w:rPr>
  </w:style>
  <w:style w:type="paragraph" w:customStyle="1" w:styleId="275">
    <w:name w:val="样式 首行缩进:  1.04 厘米"/>
    <w:basedOn w:val="1"/>
    <w:semiHidden/>
    <w:unhideWhenUsed/>
    <w:qFormat/>
    <w:uiPriority w:val="0"/>
    <w:pPr>
      <w:adjustRightInd w:val="0"/>
      <w:snapToGrid w:val="0"/>
      <w:spacing w:line="400" w:lineRule="exact"/>
      <w:ind w:firstLine="200" w:firstLineChars="200"/>
      <w:textAlignment w:val="baseline"/>
    </w:pPr>
    <w:rPr>
      <w:rFonts w:cs="宋体"/>
      <w:kern w:val="0"/>
      <w:sz w:val="24"/>
      <w:szCs w:val="22"/>
    </w:rPr>
  </w:style>
  <w:style w:type="paragraph" w:customStyle="1" w:styleId="276">
    <w:name w:val="样式 标题 3 + 段前: 0.5 行 段后: 0.5 行"/>
    <w:basedOn w:val="7"/>
    <w:semiHidden/>
    <w:unhideWhenUsed/>
    <w:qFormat/>
    <w:uiPriority w:val="0"/>
    <w:pPr>
      <w:keepNext w:val="0"/>
      <w:keepLines w:val="0"/>
      <w:tabs>
        <w:tab w:val="clear" w:pos="1674"/>
      </w:tabs>
      <w:adjustRightInd w:val="0"/>
      <w:snapToGrid w:val="0"/>
      <w:spacing w:beforeLines="50" w:afterLines="50" w:line="400" w:lineRule="exact"/>
      <w:ind w:left="0" w:leftChars="0" w:right="0" w:rightChars="0"/>
      <w:jc w:val="both"/>
      <w:textAlignment w:val="baseline"/>
    </w:pPr>
    <w:rPr>
      <w:rFonts w:ascii="黑体" w:hAnsi="Times New Roman" w:eastAsia="黑体" w:cs="宋体"/>
      <w:bCs w:val="0"/>
      <w:color w:val="000000"/>
      <w:kern w:val="0"/>
    </w:rPr>
  </w:style>
  <w:style w:type="paragraph" w:customStyle="1" w:styleId="277">
    <w:name w:val="11111"/>
    <w:basedOn w:val="1"/>
    <w:semiHidden/>
    <w:unhideWhenUsed/>
    <w:qFormat/>
    <w:uiPriority w:val="0"/>
    <w:pPr>
      <w:adjustRightInd w:val="0"/>
      <w:snapToGrid w:val="0"/>
      <w:spacing w:line="400" w:lineRule="exact"/>
      <w:ind w:firstLine="360" w:firstLineChars="150"/>
    </w:pPr>
    <w:rPr>
      <w:rFonts w:ascii="宋体" w:hAnsi="宋体"/>
      <w:kern w:val="0"/>
      <w:sz w:val="24"/>
    </w:rPr>
  </w:style>
  <w:style w:type="paragraph" w:customStyle="1" w:styleId="278">
    <w:name w:val="正"/>
    <w:basedOn w:val="1"/>
    <w:semiHidden/>
    <w:unhideWhenUsed/>
    <w:qFormat/>
    <w:uiPriority w:val="0"/>
    <w:pPr>
      <w:adjustRightInd w:val="0"/>
      <w:snapToGrid w:val="0"/>
      <w:spacing w:line="360" w:lineRule="auto"/>
      <w:ind w:firstLine="360" w:firstLineChars="150"/>
    </w:pPr>
    <w:rPr>
      <w:rFonts w:ascii="宋体" w:hAnsi="宋体"/>
      <w:kern w:val="0"/>
      <w:sz w:val="24"/>
    </w:rPr>
  </w:style>
  <w:style w:type="paragraph" w:customStyle="1" w:styleId="279">
    <w:name w:val="样式 标题3"/>
    <w:basedOn w:val="7"/>
    <w:semiHidden/>
    <w:unhideWhenUsed/>
    <w:qFormat/>
    <w:uiPriority w:val="0"/>
    <w:pPr>
      <w:keepNext w:val="0"/>
      <w:keepLines w:val="0"/>
      <w:tabs>
        <w:tab w:val="clear" w:pos="1674"/>
      </w:tabs>
      <w:adjustRightInd w:val="0"/>
      <w:snapToGrid w:val="0"/>
      <w:spacing w:beforeLines="50" w:afterLines="50" w:line="360" w:lineRule="auto"/>
      <w:ind w:left="0" w:leftChars="0" w:right="0" w:rightChars="0" w:firstLine="200"/>
      <w:jc w:val="both"/>
    </w:pPr>
    <w:rPr>
      <w:rFonts w:eastAsia="黑体" w:cs="宋体"/>
      <w:bCs w:val="0"/>
      <w:color w:val="000000"/>
      <w:kern w:val="0"/>
      <w:sz w:val="28"/>
    </w:rPr>
  </w:style>
  <w:style w:type="paragraph" w:customStyle="1" w:styleId="280">
    <w:name w:val="1.1.1"/>
    <w:basedOn w:val="1"/>
    <w:semiHidden/>
    <w:unhideWhenUsed/>
    <w:qFormat/>
    <w:uiPriority w:val="0"/>
    <w:pPr>
      <w:adjustRightInd w:val="0"/>
      <w:snapToGrid w:val="0"/>
      <w:spacing w:line="400" w:lineRule="exact"/>
      <w:ind w:firstLine="200" w:firstLineChars="200"/>
    </w:pPr>
    <w:rPr>
      <w:b/>
      <w:kern w:val="0"/>
      <w:sz w:val="24"/>
    </w:rPr>
  </w:style>
  <w:style w:type="paragraph" w:customStyle="1" w:styleId="281">
    <w:name w:val="样式 (西文) 宋体 四号 行距: 1.5 倍行距"/>
    <w:basedOn w:val="1"/>
    <w:semiHidden/>
    <w:unhideWhenUsed/>
    <w:qFormat/>
    <w:uiPriority w:val="0"/>
    <w:pPr>
      <w:adjustRightInd w:val="0"/>
      <w:snapToGrid w:val="0"/>
      <w:spacing w:beforeLines="50" w:afterLines="50" w:line="400" w:lineRule="exact"/>
      <w:ind w:firstLine="200" w:firstLineChars="200"/>
      <w:jc w:val="left"/>
      <w:outlineLvl w:val="2"/>
    </w:pPr>
    <w:rPr>
      <w:rFonts w:ascii="宋体" w:hAnsi="宋体" w:cs="宋体"/>
      <w:b/>
      <w:kern w:val="0"/>
      <w:sz w:val="24"/>
      <w:szCs w:val="22"/>
    </w:rPr>
  </w:style>
  <w:style w:type="character" w:customStyle="1" w:styleId="282">
    <w:name w:val="样式 宋体 小四3"/>
    <w:semiHidden/>
    <w:unhideWhenUsed/>
    <w:qFormat/>
    <w:uiPriority w:val="0"/>
    <w:rPr>
      <w:rFonts w:ascii="宋体" w:hAnsi="宋体"/>
      <w:sz w:val="24"/>
    </w:rPr>
  </w:style>
  <w:style w:type="character" w:customStyle="1" w:styleId="283">
    <w:name w:val="条标题1.1.1 Char Char"/>
    <w:semiHidden/>
    <w:unhideWhenUsed/>
    <w:qFormat/>
    <w:uiPriority w:val="0"/>
    <w:rPr>
      <w:b/>
      <w:sz w:val="24"/>
      <w:lang w:val="en-US" w:eastAsia="zh-CN" w:bidi="ar-SA"/>
    </w:rPr>
  </w:style>
  <w:style w:type="character" w:customStyle="1" w:styleId="284">
    <w:name w:val="Char Char5"/>
    <w:semiHidden/>
    <w:unhideWhenUsed/>
    <w:qFormat/>
    <w:uiPriority w:val="0"/>
    <w:rPr>
      <w:rFonts w:eastAsia="宋体"/>
      <w:kern w:val="2"/>
      <w:sz w:val="18"/>
      <w:szCs w:val="18"/>
      <w:lang w:val="en-US" w:eastAsia="zh-CN" w:bidi="he-IL"/>
    </w:rPr>
  </w:style>
  <w:style w:type="paragraph" w:customStyle="1" w:styleId="285">
    <w:name w:val="Char Char Char Char Char Char Char Char1"/>
    <w:basedOn w:val="1"/>
    <w:semiHidden/>
    <w:unhideWhenUsed/>
    <w:qFormat/>
    <w:uiPriority w:val="0"/>
    <w:pPr>
      <w:adjustRightInd w:val="0"/>
      <w:snapToGrid w:val="0"/>
      <w:spacing w:line="360" w:lineRule="auto"/>
      <w:ind w:firstLine="200" w:firstLineChars="200"/>
    </w:pPr>
    <w:rPr>
      <w:kern w:val="0"/>
    </w:rPr>
  </w:style>
  <w:style w:type="paragraph" w:customStyle="1" w:styleId="286">
    <w:name w:val="Char Char Char Char Char Char Char1"/>
    <w:basedOn w:val="1"/>
    <w:semiHidden/>
    <w:unhideWhenUsed/>
    <w:qFormat/>
    <w:uiPriority w:val="0"/>
    <w:pPr>
      <w:adjustRightInd w:val="0"/>
      <w:snapToGrid w:val="0"/>
      <w:spacing w:line="360" w:lineRule="auto"/>
      <w:ind w:firstLine="200" w:firstLineChars="200"/>
    </w:pPr>
    <w:rPr>
      <w:rFonts w:ascii="宋体"/>
      <w:spacing w:val="-12"/>
      <w:kern w:val="21"/>
      <w:sz w:val="24"/>
      <w:szCs w:val="22"/>
    </w:rPr>
  </w:style>
  <w:style w:type="paragraph" w:customStyle="1" w:styleId="287">
    <w:name w:val="Char1 Char Char Char Char Char1 Char Char Char Char Char Char Char Char Char Char Char Char Char Char Char Char Char Char Char Char Char Char Char Char Char1"/>
    <w:basedOn w:val="1"/>
    <w:semiHidden/>
    <w:unhideWhenUsed/>
    <w:qFormat/>
    <w:uiPriority w:val="0"/>
    <w:pPr>
      <w:adjustRightInd w:val="0"/>
      <w:snapToGrid w:val="0"/>
      <w:spacing w:line="360" w:lineRule="auto"/>
      <w:ind w:firstLine="200" w:firstLineChars="200"/>
    </w:pPr>
    <w:rPr>
      <w:rFonts w:ascii="华文楷体" w:hAnsi="华文楷体" w:eastAsia="华文楷体"/>
      <w:b/>
      <w:kern w:val="0"/>
      <w:sz w:val="24"/>
      <w:szCs w:val="21"/>
    </w:rPr>
  </w:style>
  <w:style w:type="paragraph" w:customStyle="1" w:styleId="288">
    <w:name w:val="Char Char Char Char Char1"/>
    <w:basedOn w:val="1"/>
    <w:semiHidden/>
    <w:unhideWhenUsed/>
    <w:qFormat/>
    <w:uiPriority w:val="0"/>
    <w:pPr>
      <w:adjustRightInd w:val="0"/>
      <w:snapToGrid w:val="0"/>
      <w:spacing w:line="360" w:lineRule="auto"/>
      <w:ind w:firstLine="200" w:firstLineChars="200"/>
    </w:pPr>
    <w:rPr>
      <w:kern w:val="0"/>
    </w:rPr>
  </w:style>
  <w:style w:type="character" w:customStyle="1" w:styleId="289">
    <w:name w:val="EmailStyle274"/>
    <w:semiHidden/>
    <w:unhideWhenUsed/>
    <w:qFormat/>
    <w:uiPriority w:val="0"/>
    <w:rPr>
      <w:rFonts w:ascii="Arial" w:hAnsi="Arial" w:eastAsia="宋体" w:cs="Arial"/>
      <w:color w:val="auto"/>
      <w:sz w:val="20"/>
    </w:rPr>
  </w:style>
  <w:style w:type="character" w:customStyle="1" w:styleId="290">
    <w:name w:val="1.1 标题 2 Char Char"/>
    <w:semiHidden/>
    <w:unhideWhenUsed/>
    <w:qFormat/>
    <w:uiPriority w:val="0"/>
    <w:rPr>
      <w:rFonts w:ascii="宋体" w:eastAsia="黑体"/>
      <w:sz w:val="28"/>
      <w:lang w:val="en-US" w:eastAsia="zh-CN"/>
    </w:rPr>
  </w:style>
  <w:style w:type="character" w:customStyle="1" w:styleId="291">
    <w:name w:val="全文正文 Char"/>
    <w:link w:val="292"/>
    <w:semiHidden/>
    <w:qFormat/>
    <w:uiPriority w:val="0"/>
    <w:rPr>
      <w:sz w:val="24"/>
      <w:szCs w:val="22"/>
    </w:rPr>
  </w:style>
  <w:style w:type="paragraph" w:customStyle="1" w:styleId="292">
    <w:name w:val="全文正文"/>
    <w:basedOn w:val="1"/>
    <w:link w:val="291"/>
    <w:semiHidden/>
    <w:unhideWhenUsed/>
    <w:qFormat/>
    <w:uiPriority w:val="0"/>
    <w:pPr>
      <w:adjustRightInd w:val="0"/>
      <w:snapToGrid w:val="0"/>
      <w:spacing w:line="360" w:lineRule="auto"/>
      <w:ind w:firstLine="480" w:firstLineChars="200"/>
    </w:pPr>
    <w:rPr>
      <w:kern w:val="0"/>
      <w:sz w:val="24"/>
      <w:szCs w:val="22"/>
    </w:rPr>
  </w:style>
  <w:style w:type="character" w:customStyle="1" w:styleId="293">
    <w:name w:val="占位符文本1"/>
    <w:unhideWhenUsed/>
    <w:qFormat/>
    <w:uiPriority w:val="99"/>
    <w:rPr>
      <w:color w:val="808080"/>
    </w:rPr>
  </w:style>
  <w:style w:type="paragraph" w:customStyle="1" w:styleId="294">
    <w:name w:val="列出段落2"/>
    <w:basedOn w:val="1"/>
    <w:semiHidden/>
    <w:unhideWhenUsed/>
    <w:qFormat/>
    <w:uiPriority w:val="34"/>
    <w:pPr>
      <w:adjustRightInd w:val="0"/>
      <w:snapToGrid w:val="0"/>
      <w:spacing w:line="360" w:lineRule="auto"/>
      <w:ind w:firstLine="420" w:firstLineChars="200"/>
    </w:pPr>
    <w:rPr>
      <w:rFonts w:ascii="Calibri" w:hAnsi="Calibri" w:cs="黑体"/>
      <w:kern w:val="0"/>
      <w:szCs w:val="22"/>
    </w:rPr>
  </w:style>
  <w:style w:type="paragraph" w:customStyle="1" w:styleId="295">
    <w:name w:val="列出段落11"/>
    <w:basedOn w:val="1"/>
    <w:semiHidden/>
    <w:unhideWhenUsed/>
    <w:qFormat/>
    <w:uiPriority w:val="34"/>
    <w:pPr>
      <w:adjustRightInd w:val="0"/>
      <w:snapToGrid w:val="0"/>
      <w:spacing w:line="360" w:lineRule="auto"/>
      <w:ind w:firstLine="420" w:firstLineChars="200"/>
    </w:pPr>
    <w:rPr>
      <w:rFonts w:ascii="Calibri" w:hAnsi="Calibri"/>
      <w:kern w:val="0"/>
      <w:szCs w:val="22"/>
    </w:rPr>
  </w:style>
  <w:style w:type="paragraph" w:customStyle="1" w:styleId="296">
    <w:name w:val="_Style 5"/>
    <w:basedOn w:val="4"/>
    <w:next w:val="1"/>
    <w:semiHidden/>
    <w:unhideWhenUsed/>
    <w:qFormat/>
    <w:uiPriority w:val="0"/>
    <w:pPr>
      <w:keepNext w:val="0"/>
      <w:keepLines w:val="0"/>
      <w:adjustRightInd w:val="0"/>
      <w:snapToGrid w:val="0"/>
      <w:spacing w:beforeLines="150" w:afterLines="150" w:line="576" w:lineRule="auto"/>
      <w:jc w:val="center"/>
      <w:outlineLvl w:val="9"/>
    </w:pPr>
    <w:rPr>
      <w:rFonts w:ascii="Calibri" w:hAnsi="Calibri" w:eastAsia="黑体"/>
      <w:b w:val="0"/>
      <w:color w:val="000000"/>
      <w:kern w:val="0"/>
      <w:sz w:val="36"/>
      <w:szCs w:val="28"/>
    </w:rPr>
  </w:style>
  <w:style w:type="paragraph" w:customStyle="1" w:styleId="297">
    <w:name w:val="_Style 1"/>
    <w:basedOn w:val="1"/>
    <w:semiHidden/>
    <w:unhideWhenUsed/>
    <w:qFormat/>
    <w:uiPriority w:val="34"/>
    <w:pPr>
      <w:adjustRightInd w:val="0"/>
      <w:snapToGrid w:val="0"/>
      <w:spacing w:line="360" w:lineRule="auto"/>
      <w:ind w:firstLine="420" w:firstLineChars="200"/>
    </w:pPr>
    <w:rPr>
      <w:kern w:val="0"/>
      <w:szCs w:val="22"/>
    </w:rPr>
  </w:style>
  <w:style w:type="character" w:customStyle="1" w:styleId="298">
    <w:name w:val="访问过的超链接1"/>
    <w:semiHidden/>
    <w:unhideWhenUsed/>
    <w:qFormat/>
    <w:uiPriority w:val="0"/>
    <w:rPr>
      <w:color w:val="800080"/>
      <w:u w:val="single"/>
    </w:rPr>
  </w:style>
  <w:style w:type="character" w:customStyle="1" w:styleId="299">
    <w:name w:val="EmailStyle1151"/>
    <w:semiHidden/>
    <w:unhideWhenUsed/>
    <w:qFormat/>
    <w:uiPriority w:val="0"/>
    <w:rPr>
      <w:rFonts w:ascii="Arial" w:hAnsi="Arial" w:eastAsia="宋体" w:cs="Arial"/>
      <w:color w:val="auto"/>
      <w:sz w:val="20"/>
    </w:rPr>
  </w:style>
  <w:style w:type="character" w:customStyle="1" w:styleId="300">
    <w:name w:val="EmailStyle2721"/>
    <w:semiHidden/>
    <w:unhideWhenUsed/>
    <w:qFormat/>
    <w:uiPriority w:val="0"/>
    <w:rPr>
      <w:rFonts w:ascii="Arial" w:hAnsi="Arial" w:eastAsia="宋体" w:cs="Arial"/>
      <w:color w:val="auto"/>
      <w:sz w:val="20"/>
    </w:rPr>
  </w:style>
  <w:style w:type="character" w:customStyle="1" w:styleId="301">
    <w:name w:val="纯文本 Char1"/>
    <w:semiHidden/>
    <w:unhideWhenUsed/>
    <w:qFormat/>
    <w:uiPriority w:val="0"/>
    <w:rPr>
      <w:rFonts w:ascii="宋体" w:hAnsi="Courier New"/>
      <w:kern w:val="2"/>
      <w:sz w:val="21"/>
      <w:lang w:bidi="he-IL"/>
    </w:rPr>
  </w:style>
  <w:style w:type="paragraph" w:customStyle="1" w:styleId="302">
    <w:name w:val="列出段落3"/>
    <w:basedOn w:val="1"/>
    <w:semiHidden/>
    <w:unhideWhenUsed/>
    <w:qFormat/>
    <w:uiPriority w:val="99"/>
    <w:pPr>
      <w:adjustRightInd w:val="0"/>
      <w:snapToGrid w:val="0"/>
      <w:spacing w:line="360" w:lineRule="auto"/>
      <w:ind w:firstLine="420" w:firstLineChars="200"/>
    </w:pPr>
    <w:rPr>
      <w:kern w:val="0"/>
      <w:szCs w:val="22"/>
    </w:rPr>
  </w:style>
  <w:style w:type="character" w:customStyle="1" w:styleId="303">
    <w:name w:val="无间隔 Char"/>
    <w:link w:val="167"/>
    <w:qFormat/>
    <w:locked/>
    <w:uiPriority w:val="0"/>
    <w:rPr>
      <w:rFonts w:ascii="Calibri" w:hAnsi="Calibri"/>
      <w:kern w:val="2"/>
      <w:sz w:val="21"/>
      <w:szCs w:val="22"/>
      <w:lang w:bidi="he-IL"/>
    </w:rPr>
  </w:style>
  <w:style w:type="character" w:customStyle="1" w:styleId="304">
    <w:name w:val="标题2 Char Char"/>
    <w:link w:val="305"/>
    <w:semiHidden/>
    <w:qFormat/>
    <w:locked/>
    <w:uiPriority w:val="0"/>
    <w:rPr>
      <w:b/>
      <w:bCs/>
      <w:kern w:val="44"/>
      <w:sz w:val="28"/>
      <w:szCs w:val="44"/>
    </w:rPr>
  </w:style>
  <w:style w:type="paragraph" w:customStyle="1" w:styleId="305">
    <w:name w:val="标题2"/>
    <w:basedOn w:val="1"/>
    <w:link w:val="304"/>
    <w:semiHidden/>
    <w:unhideWhenUsed/>
    <w:qFormat/>
    <w:uiPriority w:val="0"/>
    <w:pPr>
      <w:keepNext/>
      <w:keepLines/>
      <w:adjustRightInd w:val="0"/>
      <w:snapToGrid w:val="0"/>
      <w:spacing w:beforeLines="50" w:afterLines="50" w:line="360" w:lineRule="auto"/>
      <w:ind w:firstLine="200" w:firstLineChars="200"/>
      <w:outlineLvl w:val="0"/>
    </w:pPr>
    <w:rPr>
      <w:b/>
      <w:bCs/>
      <w:kern w:val="44"/>
      <w:sz w:val="28"/>
      <w:szCs w:val="44"/>
    </w:rPr>
  </w:style>
  <w:style w:type="character" w:customStyle="1" w:styleId="306">
    <w:name w:val="正文缩进 Char1"/>
    <w:semiHidden/>
    <w:unhideWhenUsed/>
    <w:qFormat/>
    <w:uiPriority w:val="0"/>
    <w:rPr>
      <w:rFonts w:ascii="宋体" w:eastAsia="宋体"/>
      <w:kern w:val="2"/>
      <w:sz w:val="21"/>
      <w:szCs w:val="24"/>
      <w:lang w:val="en-US" w:eastAsia="zh-CN" w:bidi="ar-SA"/>
    </w:rPr>
  </w:style>
  <w:style w:type="character" w:customStyle="1" w:styleId="307">
    <w:name w:val="标题3 Char"/>
    <w:link w:val="308"/>
    <w:semiHidden/>
    <w:qFormat/>
    <w:uiPriority w:val="0"/>
    <w:rPr>
      <w:rFonts w:ascii="宋体" w:hAnsi="宋体" w:eastAsia="黑体"/>
      <w:b/>
      <w:color w:val="000000"/>
      <w:sz w:val="26"/>
      <w:szCs w:val="26"/>
    </w:rPr>
  </w:style>
  <w:style w:type="paragraph" w:customStyle="1" w:styleId="308">
    <w:name w:val="标题3"/>
    <w:basedOn w:val="7"/>
    <w:link w:val="307"/>
    <w:semiHidden/>
    <w:unhideWhenUsed/>
    <w:qFormat/>
    <w:uiPriority w:val="0"/>
    <w:pPr>
      <w:keepNext w:val="0"/>
      <w:keepLines w:val="0"/>
      <w:tabs>
        <w:tab w:val="clear" w:pos="1674"/>
      </w:tabs>
      <w:autoSpaceDE w:val="0"/>
      <w:autoSpaceDN w:val="0"/>
      <w:adjustRightInd w:val="0"/>
      <w:snapToGrid w:val="0"/>
      <w:spacing w:line="408" w:lineRule="auto"/>
      <w:ind w:left="0" w:leftChars="0" w:right="0" w:rightChars="0"/>
      <w:jc w:val="both"/>
    </w:pPr>
    <w:rPr>
      <w:rFonts w:eastAsia="黑体"/>
      <w:b/>
      <w:bCs w:val="0"/>
      <w:color w:val="000000"/>
      <w:kern w:val="0"/>
      <w:sz w:val="26"/>
      <w:szCs w:val="26"/>
    </w:rPr>
  </w:style>
  <w:style w:type="paragraph" w:customStyle="1" w:styleId="309">
    <w:name w:val="p0"/>
    <w:basedOn w:val="1"/>
    <w:semiHidden/>
    <w:unhideWhenUsed/>
    <w:qFormat/>
    <w:uiPriority w:val="0"/>
    <w:pPr>
      <w:adjustRightInd w:val="0"/>
      <w:snapToGrid w:val="0"/>
      <w:spacing w:before="100" w:beforeAutospacing="1" w:after="100" w:afterAutospacing="1" w:line="360" w:lineRule="auto"/>
      <w:ind w:firstLine="200" w:firstLineChars="200"/>
      <w:jc w:val="left"/>
    </w:pPr>
    <w:rPr>
      <w:rFonts w:ascii="宋体" w:hAnsi="宋体" w:cs="宋体"/>
      <w:kern w:val="0"/>
      <w:sz w:val="24"/>
    </w:rPr>
  </w:style>
  <w:style w:type="paragraph" w:customStyle="1" w:styleId="310">
    <w:name w:val="样式10"/>
    <w:basedOn w:val="1"/>
    <w:semiHidden/>
    <w:unhideWhenUsed/>
    <w:qFormat/>
    <w:uiPriority w:val="0"/>
    <w:pPr>
      <w:adjustRightInd w:val="0"/>
      <w:snapToGrid w:val="0"/>
      <w:spacing w:line="400" w:lineRule="exact"/>
      <w:ind w:firstLine="420" w:firstLineChars="200"/>
    </w:pPr>
    <w:rPr>
      <w:rFonts w:ascii="黑体" w:hAnsi="黑体" w:eastAsia="黑体"/>
      <w:kern w:val="0"/>
      <w:szCs w:val="21"/>
    </w:rPr>
  </w:style>
  <w:style w:type="paragraph" w:customStyle="1" w:styleId="311">
    <w:name w:val="样式11"/>
    <w:basedOn w:val="1"/>
    <w:link w:val="339"/>
    <w:semiHidden/>
    <w:unhideWhenUsed/>
    <w:qFormat/>
    <w:uiPriority w:val="0"/>
    <w:pPr>
      <w:adjustRightInd w:val="0"/>
      <w:snapToGrid w:val="0"/>
      <w:spacing w:line="400" w:lineRule="exact"/>
      <w:ind w:firstLine="420" w:firstLineChars="200"/>
    </w:pPr>
    <w:rPr>
      <w:rFonts w:ascii="宋体" w:hAnsi="宋体"/>
      <w:kern w:val="0"/>
      <w:szCs w:val="21"/>
    </w:rPr>
  </w:style>
  <w:style w:type="paragraph" w:customStyle="1" w:styleId="312">
    <w:name w:val="正文文本首行缩进2字符"/>
    <w:basedOn w:val="1"/>
    <w:link w:val="313"/>
    <w:semiHidden/>
    <w:unhideWhenUsed/>
    <w:qFormat/>
    <w:uiPriority w:val="0"/>
    <w:pPr>
      <w:adjustRightInd w:val="0"/>
      <w:snapToGrid w:val="0"/>
      <w:spacing w:line="360" w:lineRule="auto"/>
      <w:ind w:firstLine="480" w:firstLineChars="200"/>
    </w:pPr>
    <w:rPr>
      <w:kern w:val="0"/>
      <w:sz w:val="24"/>
      <w:szCs w:val="28"/>
    </w:rPr>
  </w:style>
  <w:style w:type="character" w:customStyle="1" w:styleId="313">
    <w:name w:val="正文文本首行缩进2字符 Char"/>
    <w:link w:val="312"/>
    <w:semiHidden/>
    <w:qFormat/>
    <w:uiPriority w:val="0"/>
    <w:rPr>
      <w:sz w:val="24"/>
      <w:szCs w:val="28"/>
    </w:rPr>
  </w:style>
  <w:style w:type="character" w:customStyle="1" w:styleId="314">
    <w:name w:val="样式1 Char"/>
    <w:link w:val="78"/>
    <w:qFormat/>
    <w:uiPriority w:val="0"/>
    <w:rPr>
      <w:rFonts w:ascii="宋体"/>
      <w:sz w:val="24"/>
    </w:rPr>
  </w:style>
  <w:style w:type="character" w:customStyle="1" w:styleId="315">
    <w:name w:val="纯文本 Char3"/>
    <w:semiHidden/>
    <w:unhideWhenUsed/>
    <w:qFormat/>
    <w:uiPriority w:val="0"/>
    <w:rPr>
      <w:rFonts w:ascii="宋体" w:hAnsi="Courier New"/>
      <w:kern w:val="2"/>
      <w:sz w:val="24"/>
    </w:rPr>
  </w:style>
  <w:style w:type="paragraph" w:customStyle="1" w:styleId="316">
    <w:name w:val="王平4"/>
    <w:basedOn w:val="1"/>
    <w:unhideWhenUsed/>
    <w:qFormat/>
    <w:uiPriority w:val="0"/>
    <w:pPr>
      <w:adjustRightInd w:val="0"/>
      <w:snapToGrid w:val="0"/>
      <w:spacing w:line="360" w:lineRule="auto"/>
      <w:ind w:firstLine="200" w:firstLineChars="200"/>
    </w:pPr>
    <w:rPr>
      <w:rFonts w:ascii="宋体" w:hAnsi="宋体"/>
      <w:kern w:val="0"/>
      <w:sz w:val="24"/>
    </w:rPr>
  </w:style>
  <w:style w:type="paragraph" w:styleId="317">
    <w:name w:val="No Spacing"/>
    <w:basedOn w:val="1"/>
    <w:unhideWhenUsed/>
    <w:qFormat/>
    <w:uiPriority w:val="1"/>
    <w:pPr>
      <w:adjustRightInd w:val="0"/>
      <w:snapToGrid w:val="0"/>
      <w:ind w:firstLine="200" w:firstLineChars="200"/>
    </w:pPr>
    <w:rPr>
      <w:rFonts w:ascii="Calibri" w:hAnsi="Calibri"/>
      <w:kern w:val="0"/>
      <w:sz w:val="22"/>
      <w:szCs w:val="22"/>
    </w:rPr>
  </w:style>
  <w:style w:type="character" w:customStyle="1" w:styleId="318">
    <w:name w:val="正文文本缩进 2 Char"/>
    <w:link w:val="29"/>
    <w:qFormat/>
    <w:uiPriority w:val="0"/>
    <w:rPr>
      <w:kern w:val="2"/>
      <w:sz w:val="21"/>
    </w:rPr>
  </w:style>
  <w:style w:type="paragraph" w:styleId="319">
    <w:name w:val="Quote"/>
    <w:basedOn w:val="1"/>
    <w:next w:val="1"/>
    <w:link w:val="320"/>
    <w:unhideWhenUsed/>
    <w:qFormat/>
    <w:uiPriority w:val="29"/>
    <w:pPr>
      <w:adjustRightInd w:val="0"/>
      <w:snapToGrid w:val="0"/>
      <w:spacing w:line="360" w:lineRule="auto"/>
      <w:ind w:firstLine="200" w:firstLineChars="200"/>
    </w:pPr>
    <w:rPr>
      <w:i/>
      <w:iCs/>
      <w:color w:val="000000"/>
      <w:kern w:val="0"/>
      <w:szCs w:val="22"/>
    </w:rPr>
  </w:style>
  <w:style w:type="character" w:customStyle="1" w:styleId="320">
    <w:name w:val="引用 Char"/>
    <w:link w:val="319"/>
    <w:qFormat/>
    <w:uiPriority w:val="29"/>
    <w:rPr>
      <w:i/>
      <w:iCs/>
      <w:color w:val="000000"/>
      <w:sz w:val="21"/>
      <w:szCs w:val="22"/>
    </w:rPr>
  </w:style>
  <w:style w:type="paragraph" w:styleId="321">
    <w:name w:val="Intense Quote"/>
    <w:basedOn w:val="1"/>
    <w:next w:val="1"/>
    <w:link w:val="322"/>
    <w:unhideWhenUsed/>
    <w:qFormat/>
    <w:uiPriority w:val="30"/>
    <w:pPr>
      <w:pBdr>
        <w:bottom w:val="single" w:color="4F81BD" w:sz="4" w:space="4"/>
      </w:pBdr>
      <w:adjustRightInd w:val="0"/>
      <w:snapToGrid w:val="0"/>
      <w:spacing w:before="200" w:after="280" w:line="360" w:lineRule="auto"/>
      <w:ind w:left="936" w:right="936" w:firstLine="200" w:firstLineChars="200"/>
    </w:pPr>
    <w:rPr>
      <w:b/>
      <w:bCs/>
      <w:i/>
      <w:iCs/>
      <w:color w:val="4F81BD"/>
      <w:kern w:val="0"/>
      <w:szCs w:val="22"/>
    </w:rPr>
  </w:style>
  <w:style w:type="character" w:customStyle="1" w:styleId="322">
    <w:name w:val="明显引用 Char"/>
    <w:link w:val="321"/>
    <w:qFormat/>
    <w:uiPriority w:val="30"/>
    <w:rPr>
      <w:b/>
      <w:bCs/>
      <w:i/>
      <w:iCs/>
      <w:color w:val="4F81BD"/>
      <w:sz w:val="21"/>
      <w:szCs w:val="22"/>
    </w:rPr>
  </w:style>
  <w:style w:type="character" w:customStyle="1" w:styleId="323">
    <w:name w:val="不明显强调2"/>
    <w:semiHidden/>
    <w:unhideWhenUsed/>
    <w:qFormat/>
    <w:uiPriority w:val="19"/>
    <w:rPr>
      <w:i/>
      <w:iCs/>
      <w:color w:val="7F7F7F"/>
    </w:rPr>
  </w:style>
  <w:style w:type="character" w:customStyle="1" w:styleId="324">
    <w:name w:val="明显强调1"/>
    <w:semiHidden/>
    <w:unhideWhenUsed/>
    <w:qFormat/>
    <w:uiPriority w:val="21"/>
    <w:rPr>
      <w:b/>
      <w:bCs/>
      <w:i/>
      <w:iCs/>
      <w:color w:val="4F81BD"/>
    </w:rPr>
  </w:style>
  <w:style w:type="character" w:customStyle="1" w:styleId="325">
    <w:name w:val="不明显参考1"/>
    <w:semiHidden/>
    <w:unhideWhenUsed/>
    <w:qFormat/>
    <w:uiPriority w:val="31"/>
    <w:rPr>
      <w:smallCaps/>
      <w:color w:val="C0504D"/>
      <w:u w:val="single"/>
    </w:rPr>
  </w:style>
  <w:style w:type="character" w:customStyle="1" w:styleId="326">
    <w:name w:val="明显参考1"/>
    <w:semiHidden/>
    <w:unhideWhenUsed/>
    <w:qFormat/>
    <w:uiPriority w:val="32"/>
    <w:rPr>
      <w:b/>
      <w:bCs/>
      <w:smallCaps/>
      <w:color w:val="C0504D"/>
      <w:spacing w:val="5"/>
      <w:u w:val="single"/>
    </w:rPr>
  </w:style>
  <w:style w:type="character" w:customStyle="1" w:styleId="327">
    <w:name w:val="书籍标题1"/>
    <w:semiHidden/>
    <w:unhideWhenUsed/>
    <w:qFormat/>
    <w:uiPriority w:val="33"/>
    <w:rPr>
      <w:b/>
      <w:bCs/>
      <w:smallCaps/>
      <w:spacing w:val="5"/>
    </w:rPr>
  </w:style>
  <w:style w:type="paragraph" w:customStyle="1" w:styleId="328">
    <w:name w:val="TOC 标题2"/>
    <w:basedOn w:val="4"/>
    <w:next w:val="1"/>
    <w:semiHidden/>
    <w:unhideWhenUsed/>
    <w:qFormat/>
    <w:uiPriority w:val="39"/>
    <w:pPr>
      <w:keepNext w:val="0"/>
      <w:keepLines w:val="0"/>
      <w:adjustRightInd w:val="0"/>
      <w:snapToGrid w:val="0"/>
      <w:spacing w:beforeLines="150" w:afterLines="150" w:line="360" w:lineRule="auto"/>
      <w:jc w:val="center"/>
      <w:outlineLvl w:val="9"/>
    </w:pPr>
    <w:rPr>
      <w:rFonts w:eastAsia="黑体"/>
      <w:b w:val="0"/>
      <w:color w:val="000000"/>
      <w:kern w:val="0"/>
      <w:sz w:val="36"/>
      <w:szCs w:val="28"/>
    </w:rPr>
  </w:style>
  <w:style w:type="paragraph" w:customStyle="1" w:styleId="329">
    <w:name w:val="列出段落4"/>
    <w:basedOn w:val="1"/>
    <w:semiHidden/>
    <w:unhideWhenUsed/>
    <w:qFormat/>
    <w:uiPriority w:val="34"/>
    <w:pPr>
      <w:ind w:firstLine="420" w:firstLineChars="200"/>
    </w:pPr>
  </w:style>
  <w:style w:type="paragraph" w:customStyle="1" w:styleId="330">
    <w:name w:val="封面标准名称"/>
    <w:semiHidden/>
    <w:unhideWhenUsed/>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1">
    <w:name w:val="标题样式2（多级）2"/>
    <w:basedOn w:val="1"/>
    <w:semiHidden/>
    <w:unhideWhenUsed/>
    <w:qFormat/>
    <w:uiPriority w:val="0"/>
    <w:rPr>
      <w:sz w:val="24"/>
      <w:szCs w:val="20"/>
    </w:rPr>
  </w:style>
  <w:style w:type="character" w:customStyle="1" w:styleId="332">
    <w:name w:val="列出段落 Char"/>
    <w:link w:val="71"/>
    <w:qFormat/>
    <w:uiPriority w:val="34"/>
    <w:rPr>
      <w:kern w:val="2"/>
      <w:sz w:val="21"/>
      <w:szCs w:val="24"/>
    </w:rPr>
  </w:style>
  <w:style w:type="character" w:customStyle="1" w:styleId="333">
    <w:name w:val="批注文字 Char1"/>
    <w:semiHidden/>
    <w:unhideWhenUsed/>
    <w:qFormat/>
    <w:uiPriority w:val="99"/>
    <w:rPr>
      <w:rFonts w:ascii="Times New Roman" w:hAnsi="Times New Roman" w:eastAsia="宋体" w:cs="Arial"/>
      <w:kern w:val="0"/>
      <w:szCs w:val="20"/>
    </w:rPr>
  </w:style>
  <w:style w:type="table" w:customStyle="1" w:styleId="334">
    <w:name w:val="网格型1"/>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5">
    <w:name w:val="修订2"/>
    <w:hidden/>
    <w:unhideWhenUsed/>
    <w:qFormat/>
    <w:uiPriority w:val="99"/>
    <w:rPr>
      <w:rFonts w:ascii="Times New Roman" w:hAnsi="Times New Roman" w:eastAsia="宋体" w:cs="Times New Roman"/>
      <w:sz w:val="21"/>
      <w:szCs w:val="22"/>
      <w:lang w:val="en-US" w:eastAsia="zh-CN" w:bidi="ar-SA"/>
    </w:rPr>
  </w:style>
  <w:style w:type="character" w:customStyle="1" w:styleId="336">
    <w:name w:val="未处理的提及1"/>
    <w:semiHidden/>
    <w:unhideWhenUsed/>
    <w:qFormat/>
    <w:uiPriority w:val="99"/>
    <w:rPr>
      <w:color w:val="605E5C"/>
      <w:shd w:val="clear" w:color="auto" w:fill="E1DFDD"/>
    </w:rPr>
  </w:style>
  <w:style w:type="character" w:customStyle="1" w:styleId="337">
    <w:name w:val="正文文本缩进 2 字符"/>
    <w:semiHidden/>
    <w:unhideWhenUsed/>
    <w:qFormat/>
    <w:uiPriority w:val="99"/>
  </w:style>
  <w:style w:type="character" w:customStyle="1" w:styleId="338">
    <w:name w:val="批注文字 字符"/>
    <w:semiHidden/>
    <w:unhideWhenUsed/>
    <w:qFormat/>
    <w:uiPriority w:val="99"/>
  </w:style>
  <w:style w:type="character" w:customStyle="1" w:styleId="339">
    <w:name w:val="样式11 Char"/>
    <w:link w:val="311"/>
    <w:semiHidden/>
    <w:qFormat/>
    <w:uiPriority w:val="0"/>
    <w:rPr>
      <w:rFonts w:ascii="宋体" w:hAnsi="宋体"/>
      <w:sz w:val="21"/>
      <w:szCs w:val="21"/>
    </w:rPr>
  </w:style>
  <w:style w:type="paragraph" w:customStyle="1" w:styleId="340">
    <w:name w:val="Char Char Char Char Char Char Char Char Char"/>
    <w:basedOn w:val="1"/>
    <w:semiHidden/>
    <w:unhideWhenUsed/>
    <w:qFormat/>
    <w:uiPriority w:val="0"/>
    <w:pPr>
      <w:spacing w:line="360" w:lineRule="auto"/>
      <w:ind w:firstLine="200" w:firstLineChars="200"/>
    </w:pPr>
    <w:rPr>
      <w:rFonts w:ascii="宋体" w:hAnsi="宋体" w:cs="宋体"/>
      <w:sz w:val="24"/>
    </w:rPr>
  </w:style>
  <w:style w:type="character" w:customStyle="1" w:styleId="341">
    <w:name w:val="未处理的提及2"/>
    <w:semiHidden/>
    <w:unhideWhenUsed/>
    <w:qFormat/>
    <w:uiPriority w:val="99"/>
    <w:rPr>
      <w:color w:val="605E5C"/>
      <w:shd w:val="clear" w:color="auto" w:fill="E1DFDD"/>
    </w:rPr>
  </w:style>
  <w:style w:type="paragraph" w:customStyle="1" w:styleId="342">
    <w:name w:val="2"/>
    <w:basedOn w:val="20"/>
    <w:link w:val="343"/>
    <w:unhideWhenUsed/>
    <w:qFormat/>
    <w:uiPriority w:val="99"/>
    <w:pPr>
      <w:adjustRightInd w:val="0"/>
      <w:snapToGrid w:val="0"/>
      <w:spacing w:after="120" w:line="360" w:lineRule="auto"/>
      <w:ind w:firstLine="420" w:firstLineChars="100"/>
    </w:pPr>
    <w:rPr>
      <w:rFonts w:ascii="Arial" w:hAnsi="Arial" w:eastAsia="仿宋_GB2312"/>
      <w:sz w:val="21"/>
      <w:szCs w:val="22"/>
    </w:rPr>
  </w:style>
  <w:style w:type="character" w:customStyle="1" w:styleId="343">
    <w:name w:val="正文文本首行缩进 字符"/>
    <w:link w:val="342"/>
    <w:qFormat/>
    <w:uiPriority w:val="99"/>
    <w:rPr>
      <w:rFonts w:ascii="Arial" w:hAnsi="Arial" w:eastAsia="仿宋_GB2312"/>
      <w:kern w:val="2"/>
      <w:sz w:val="21"/>
      <w:szCs w:val="22"/>
    </w:rPr>
  </w:style>
  <w:style w:type="character" w:customStyle="1" w:styleId="344">
    <w:name w:val="Unresolved Mention"/>
    <w:semiHidden/>
    <w:unhideWhenUsed/>
    <w:qFormat/>
    <w:uiPriority w:val="99"/>
    <w:rPr>
      <w:color w:val="605E5C"/>
      <w:shd w:val="clear" w:color="auto" w:fill="E1DFDD"/>
    </w:rPr>
  </w:style>
  <w:style w:type="paragraph" w:customStyle="1" w:styleId="345">
    <w:name w:val="标书6-正文"/>
    <w:basedOn w:val="1"/>
    <w:qFormat/>
    <w:uiPriority w:val="0"/>
    <w:pPr>
      <w:tabs>
        <w:tab w:val="left" w:pos="420"/>
      </w:tabs>
      <w:adjustRightInd w:val="0"/>
      <w:snapToGrid w:val="0"/>
      <w:spacing w:line="360" w:lineRule="auto"/>
      <w:ind w:firstLine="482" w:firstLineChars="200"/>
    </w:pPr>
    <w:rPr>
      <w:kern w:val="0"/>
      <w:sz w:val="24"/>
      <w:szCs w:val="22"/>
    </w:rPr>
  </w:style>
  <w:style w:type="character" w:customStyle="1" w:styleId="346">
    <w:name w:val="标题 1 Char Char"/>
    <w:link w:val="4"/>
    <w:qFormat/>
    <w:uiPriority w:val="0"/>
    <w:rPr>
      <w:rFonts w:eastAsia="宋体"/>
      <w:b/>
      <w:kern w:val="44"/>
      <w:sz w:val="44"/>
      <w:lang w:val="en-US" w:eastAsia="zh-CN"/>
    </w:rPr>
  </w:style>
  <w:style w:type="paragraph" w:customStyle="1" w:styleId="347">
    <w:name w:val="默认段落字体 Para Char Char Char Char Char"/>
    <w:basedOn w:val="1"/>
    <w:semiHidden/>
    <w:qFormat/>
    <w:uiPriority w:val="0"/>
    <w:rPr>
      <w:rFonts w:ascii="宋体" w:hAns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wmf"/><Relationship Id="rId24" Type="http://schemas.openxmlformats.org/officeDocument/2006/relationships/oleObject" Target="embeddings/oleObject5.bin"/><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wmf"/><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4635</Words>
  <Characters>26426</Characters>
  <Lines>220</Lines>
  <Paragraphs>61</Paragraphs>
  <TotalTime>8</TotalTime>
  <ScaleCrop>false</ScaleCrop>
  <LinksUpToDate>false</LinksUpToDate>
  <CharactersWithSpaces>31000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2021-01-11T00:43:00Z</dcterms:created>
  <dc:creator>王鑫</dc:creator>
  <cp:lastModifiedBy>Administrator</cp:lastModifiedBy>
  <cp:lastPrinted>2017-04-01T03:27:00Z</cp:lastPrinted>
  <dcterms:modified xsi:type="dcterms:W3CDTF">2021-09-25T01:24:07Z</dcterms:modified>
  <dc:title>附件3:</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7868F34C5911453CB39BAC7573CBCC25</vt:lpwstr>
  </property>
</Properties>
</file>