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高硫精煤购销合同</w:t>
      </w:r>
    </w:p>
    <w:p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 xml:space="preserve">供方： 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     合同编号：                            </w:t>
      </w:r>
    </w:p>
    <w:p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 xml:space="preserve">需方：岷山环能高科股份公司     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  签订地点：岷山环能高科股份公司</w:t>
      </w:r>
    </w:p>
    <w:p>
      <w:pPr>
        <w:pStyle w:val="2"/>
        <w:rPr>
          <w:sz w:val="24"/>
        </w:rPr>
      </w:pPr>
    </w:p>
    <w:p>
      <w:pPr>
        <w:pStyle w:val="2"/>
        <w:rPr>
          <w:u w:val="none"/>
        </w:rPr>
      </w:pPr>
      <w:r>
        <w:rPr>
          <w:rFonts w:hint="eastAsia"/>
          <w:sz w:val="24"/>
          <w:u w:val="none"/>
        </w:rPr>
        <w:t>供需双方本着平等、自愿、协商一致的原则，签订本合同：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jc w:val="left"/>
        <w:rPr>
          <w:sz w:val="24"/>
        </w:rPr>
      </w:pPr>
      <w:r>
        <w:rPr>
          <w:rFonts w:hint="eastAsia"/>
          <w:sz w:val="24"/>
        </w:rPr>
        <w:t>数量：</w:t>
      </w:r>
      <w:r>
        <w:rPr>
          <w:sz w:val="24"/>
        </w:rPr>
        <w:t>900</w:t>
      </w:r>
      <w:r>
        <w:rPr>
          <w:rFonts w:hint="eastAsia"/>
          <w:sz w:val="24"/>
        </w:rPr>
        <w:t>吨±10%/月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jc w:val="left"/>
        <w:rPr>
          <w:sz w:val="24"/>
        </w:rPr>
      </w:pPr>
      <w:r>
        <w:rPr>
          <w:rFonts w:hint="eastAsia"/>
          <w:sz w:val="24"/>
        </w:rPr>
        <w:t>规格及标准：</w:t>
      </w:r>
    </w:p>
    <w:tbl>
      <w:tblPr>
        <w:tblStyle w:val="3"/>
        <w:tblW w:w="93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125"/>
        <w:gridCol w:w="1275"/>
        <w:gridCol w:w="930"/>
        <w:gridCol w:w="1109"/>
        <w:gridCol w:w="963"/>
        <w:gridCol w:w="935"/>
        <w:gridCol w:w="1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发热量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水分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挥发份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灰份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煤矸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含硫量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高硫精煤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szCs w:val="21"/>
              </w:rPr>
              <w:t>70%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≥6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hint="eastAsia" w:ascii="宋体" w:hAnsi="宋体"/>
                <w:szCs w:val="21"/>
              </w:rPr>
              <w:t>卡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szCs w:val="21"/>
              </w:rPr>
              <w:t>7%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12%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%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＜0.7</w:t>
            </w:r>
            <w:r>
              <w:rPr>
                <w:szCs w:val="21"/>
              </w:rPr>
              <w:t>%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5%</w:t>
            </w:r>
          </w:p>
        </w:tc>
      </w:tr>
    </w:tbl>
    <w:p>
      <w:pPr>
        <w:spacing w:line="440" w:lineRule="exact"/>
        <w:ind w:left="465"/>
        <w:jc w:val="left"/>
        <w:rPr>
          <w:sz w:val="24"/>
        </w:rPr>
      </w:pPr>
      <w:r>
        <w:rPr>
          <w:rFonts w:hint="eastAsia"/>
          <w:sz w:val="24"/>
        </w:rPr>
        <w:t>验收标准：</w:t>
      </w:r>
    </w:p>
    <w:p>
      <w:pPr>
        <w:spacing w:line="440" w:lineRule="exact"/>
        <w:ind w:left="465"/>
        <w:jc w:val="lef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、固定碳不得低于7</w:t>
      </w:r>
      <w:r>
        <w:rPr>
          <w:sz w:val="24"/>
        </w:rPr>
        <w:t>0</w:t>
      </w:r>
      <w:r>
        <w:rPr>
          <w:rFonts w:hint="eastAsia"/>
          <w:sz w:val="24"/>
        </w:rPr>
        <w:t>%，每低1%扣</w:t>
      </w:r>
      <w:r>
        <w:rPr>
          <w:sz w:val="24"/>
        </w:rPr>
        <w:t>35</w:t>
      </w:r>
      <w:r>
        <w:rPr>
          <w:rFonts w:hint="eastAsia"/>
          <w:sz w:val="24"/>
        </w:rPr>
        <w:t>元/干吨。</w:t>
      </w:r>
    </w:p>
    <w:p>
      <w:pPr>
        <w:spacing w:line="440" w:lineRule="exact"/>
        <w:ind w:left="465"/>
        <w:jc w:val="left"/>
        <w:rPr>
          <w:sz w:val="24"/>
        </w:rPr>
      </w:pPr>
      <w:r>
        <w:rPr>
          <w:rFonts w:hint="eastAsia"/>
          <w:sz w:val="24"/>
        </w:rPr>
        <w:t>2、发热量平均低于</w:t>
      </w:r>
      <w:r>
        <w:rPr>
          <w:sz w:val="24"/>
        </w:rPr>
        <w:t>6000</w:t>
      </w:r>
      <w:r>
        <w:rPr>
          <w:rFonts w:hint="eastAsia"/>
          <w:sz w:val="24"/>
        </w:rPr>
        <w:t>卡时，每低</w:t>
      </w:r>
      <w:r>
        <w:rPr>
          <w:sz w:val="24"/>
        </w:rPr>
        <w:t>100</w:t>
      </w:r>
      <w:r>
        <w:rPr>
          <w:rFonts w:hint="eastAsia"/>
          <w:sz w:val="24"/>
        </w:rPr>
        <w:t>卡扣</w:t>
      </w:r>
      <w:r>
        <w:rPr>
          <w:sz w:val="24"/>
        </w:rPr>
        <w:t>35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吨。</w:t>
      </w:r>
    </w:p>
    <w:p>
      <w:pPr>
        <w:spacing w:line="440" w:lineRule="exact"/>
        <w:ind w:left="465"/>
        <w:jc w:val="left"/>
        <w:rPr>
          <w:sz w:val="24"/>
        </w:rPr>
      </w:pPr>
      <w:r>
        <w:rPr>
          <w:rFonts w:hint="eastAsia"/>
          <w:sz w:val="24"/>
        </w:rPr>
        <w:t>3、挥发份：挥发分大于</w:t>
      </w:r>
      <w:r>
        <w:rPr>
          <w:sz w:val="24"/>
        </w:rPr>
        <w:t>12%</w:t>
      </w:r>
      <w:r>
        <w:rPr>
          <w:rFonts w:hint="eastAsia"/>
          <w:sz w:val="24"/>
        </w:rPr>
        <w:t>，灰分大于14%每增加1%扣</w:t>
      </w:r>
      <w:r>
        <w:rPr>
          <w:sz w:val="24"/>
        </w:rPr>
        <w:t>35</w:t>
      </w:r>
      <w:r>
        <w:rPr>
          <w:rFonts w:hint="eastAsia"/>
          <w:sz w:val="24"/>
        </w:rPr>
        <w:t>元/吨（分项计算以此累加）。</w:t>
      </w:r>
    </w:p>
    <w:p>
      <w:pPr>
        <w:spacing w:line="440" w:lineRule="exact"/>
        <w:ind w:left="465"/>
        <w:jc w:val="left"/>
        <w:rPr>
          <w:sz w:val="24"/>
        </w:rPr>
      </w:pPr>
      <w:r>
        <w:rPr>
          <w:rFonts w:hint="eastAsia"/>
          <w:sz w:val="24"/>
        </w:rPr>
        <w:t>4、煤矸大于0.7%时，根据现场验收实际情况进行扣减。</w:t>
      </w:r>
    </w:p>
    <w:p>
      <w:pPr>
        <w:spacing w:line="440" w:lineRule="exact"/>
        <w:ind w:left="465"/>
        <w:jc w:val="left"/>
        <w:rPr>
          <w:sz w:val="24"/>
        </w:rPr>
      </w:pPr>
      <w:r>
        <w:rPr>
          <w:rFonts w:hint="eastAsia"/>
          <w:sz w:val="24"/>
        </w:rPr>
        <w:t>5、含硫量超过0.</w:t>
      </w:r>
      <w:r>
        <w:rPr>
          <w:sz w:val="24"/>
        </w:rPr>
        <w:t>5%</w:t>
      </w:r>
      <w:r>
        <w:rPr>
          <w:rFonts w:hint="eastAsia"/>
          <w:sz w:val="24"/>
        </w:rPr>
        <w:t>，每高</w:t>
      </w:r>
      <w:r>
        <w:rPr>
          <w:sz w:val="24"/>
        </w:rPr>
        <w:t>0.</w:t>
      </w:r>
      <w:r>
        <w:rPr>
          <w:rFonts w:hint="eastAsia"/>
          <w:sz w:val="24"/>
        </w:rPr>
        <w:t>0</w:t>
      </w:r>
      <w:r>
        <w:rPr>
          <w:sz w:val="24"/>
        </w:rPr>
        <w:t>1%</w:t>
      </w:r>
      <w:r>
        <w:rPr>
          <w:rFonts w:hint="eastAsia"/>
          <w:sz w:val="24"/>
        </w:rPr>
        <w:t>扣</w:t>
      </w:r>
      <w:r>
        <w:rPr>
          <w:sz w:val="24"/>
        </w:rPr>
        <w:t>4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吨。</w:t>
      </w:r>
    </w:p>
    <w:p>
      <w:pPr>
        <w:pStyle w:val="2"/>
        <w:rPr>
          <w:u w:val="none"/>
        </w:rPr>
      </w:pPr>
      <w:r>
        <w:rPr>
          <w:rFonts w:hint="eastAsia"/>
          <w:sz w:val="24"/>
          <w:u w:val="none"/>
        </w:rPr>
        <w:t xml:space="preserve">    6、水分保留</w:t>
      </w:r>
      <w:r>
        <w:rPr>
          <w:sz w:val="24"/>
          <w:u w:val="none"/>
        </w:rPr>
        <w:t>7</w:t>
      </w:r>
      <w:r>
        <w:rPr>
          <w:rFonts w:hint="eastAsia"/>
          <w:sz w:val="24"/>
          <w:u w:val="none"/>
        </w:rPr>
        <w:t>%，超出部分按实际扣除。</w:t>
      </w:r>
    </w:p>
    <w:p>
      <w:pPr>
        <w:spacing w:line="440" w:lineRule="exact"/>
        <w:ind w:left="465"/>
        <w:jc w:val="left"/>
        <w:rPr>
          <w:sz w:val="24"/>
        </w:rPr>
      </w:pPr>
      <w:r>
        <w:rPr>
          <w:rFonts w:hint="eastAsia"/>
          <w:sz w:val="24"/>
        </w:rPr>
        <w:t>7、以上各项指标按照周加权平均结果结算。</w:t>
      </w:r>
    </w:p>
    <w:p>
      <w:pPr>
        <w:spacing w:line="440" w:lineRule="exact"/>
        <w:ind w:left="465"/>
        <w:jc w:val="left"/>
        <w:rPr>
          <w:sz w:val="24"/>
        </w:rPr>
      </w:pPr>
      <w:r>
        <w:rPr>
          <w:rFonts w:hint="eastAsia"/>
          <w:sz w:val="24"/>
        </w:rPr>
        <w:t>8、不得含有煤泥铁销木质等杂质，否则视实际情况，给予一定处罚。</w:t>
      </w:r>
    </w:p>
    <w:p>
      <w:pPr>
        <w:pStyle w:val="5"/>
        <w:numPr>
          <w:ilvl w:val="0"/>
          <w:numId w:val="1"/>
        </w:numPr>
        <w:spacing w:line="440" w:lineRule="exact"/>
        <w:ind w:left="0" w:firstLine="142" w:firstLineChars="0"/>
        <w:jc w:val="left"/>
        <w:rPr>
          <w:sz w:val="24"/>
        </w:rPr>
      </w:pPr>
      <w:r>
        <w:rPr>
          <w:rFonts w:hint="eastAsia"/>
          <w:sz w:val="24"/>
        </w:rPr>
        <w:t>交货地点：岷山环能高科股份公司仓库，交货前一切风险由供方承担。</w:t>
      </w:r>
    </w:p>
    <w:p>
      <w:pPr>
        <w:pStyle w:val="5"/>
        <w:numPr>
          <w:ilvl w:val="0"/>
          <w:numId w:val="1"/>
        </w:numPr>
        <w:spacing w:line="440" w:lineRule="exact"/>
        <w:ind w:left="0" w:firstLine="142" w:firstLineChars="0"/>
        <w:jc w:val="left"/>
        <w:rPr>
          <w:sz w:val="24"/>
        </w:rPr>
      </w:pPr>
      <w:r>
        <w:rPr>
          <w:rFonts w:hint="eastAsia"/>
          <w:sz w:val="24"/>
        </w:rPr>
        <w:t>交货时间：</w:t>
      </w:r>
      <w:r>
        <w:rPr>
          <w:sz w:val="24"/>
        </w:rPr>
        <w:t>2023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日至202</w:t>
      </w:r>
      <w:r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日。</w:t>
      </w:r>
    </w:p>
    <w:p>
      <w:pPr>
        <w:pStyle w:val="5"/>
        <w:numPr>
          <w:ilvl w:val="0"/>
          <w:numId w:val="1"/>
        </w:numPr>
        <w:spacing w:line="440" w:lineRule="exact"/>
        <w:ind w:left="0" w:firstLine="142" w:firstLineChars="0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运输方式及费用：散装，汽运、费用由供方负担。汽运燃油车辆必须符合国五及以上排放标准，燃气车辆必须符合国六及以上排放标准。</w:t>
      </w:r>
      <w:r>
        <w:rPr>
          <w:sz w:val="24"/>
        </w:rPr>
        <w:t xml:space="preserve">     </w:t>
      </w:r>
    </w:p>
    <w:p>
      <w:pPr>
        <w:pStyle w:val="5"/>
        <w:numPr>
          <w:ilvl w:val="0"/>
          <w:numId w:val="1"/>
        </w:numPr>
        <w:spacing w:line="440" w:lineRule="exact"/>
        <w:ind w:left="0" w:firstLine="142" w:firstLineChars="0"/>
        <w:jc w:val="left"/>
        <w:rPr>
          <w:sz w:val="24"/>
        </w:rPr>
      </w:pPr>
      <w:r>
        <w:rPr>
          <w:rFonts w:hint="eastAsia"/>
          <w:sz w:val="24"/>
        </w:rPr>
        <w:t>供货价格：按照</w:t>
      </w:r>
      <w:r>
        <w:rPr>
          <w:sz w:val="24"/>
        </w:rPr>
        <w:t xml:space="preserve"> </w:t>
      </w:r>
      <w:r>
        <w:rPr>
          <w:rFonts w:hint="eastAsia"/>
          <w:sz w:val="24"/>
        </w:rPr>
        <w:t>￥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干吨标准价（含13%增值税专用票）。</w:t>
      </w:r>
    </w:p>
    <w:p>
      <w:pPr>
        <w:pStyle w:val="5"/>
        <w:numPr>
          <w:ilvl w:val="0"/>
          <w:numId w:val="1"/>
        </w:numPr>
        <w:spacing w:line="440" w:lineRule="exact"/>
        <w:ind w:left="0" w:firstLine="142" w:firstLineChars="0"/>
        <w:jc w:val="left"/>
        <w:rPr>
          <w:sz w:val="24"/>
        </w:rPr>
      </w:pPr>
      <w:r>
        <w:rPr>
          <w:rFonts w:hint="eastAsia"/>
          <w:sz w:val="24"/>
        </w:rPr>
        <w:t>验收标准：在需方厂内检斤取样，供需双方共同监督需方质检人员取制样，样品均匀混合后分三份，供、需双方各留一份，留一份仲裁备用。需方质检人员在取样现场验货，如发现问题现场解决，检斤、取制样过程中，发现问题，由需方质检、业务部门及供应商三方共同协商解决，协商不成做退货处理。</w:t>
      </w:r>
    </w:p>
    <w:p>
      <w:pPr>
        <w:pStyle w:val="5"/>
        <w:numPr>
          <w:ilvl w:val="0"/>
          <w:numId w:val="1"/>
        </w:numPr>
        <w:spacing w:line="440" w:lineRule="exact"/>
        <w:ind w:left="0" w:firstLine="142" w:firstLineChars="0"/>
        <w:jc w:val="left"/>
        <w:rPr>
          <w:sz w:val="24"/>
        </w:rPr>
      </w:pPr>
      <w:r>
        <w:rPr>
          <w:rFonts w:hint="eastAsia"/>
          <w:sz w:val="24"/>
        </w:rPr>
        <w:t>品质确定：以需方化验结果为准进行结算，如对化验结果有异议，双方协商，协商不成进行仲裁化验，</w:t>
      </w:r>
      <w:r>
        <w:rPr>
          <w:sz w:val="24"/>
        </w:rPr>
        <w:t xml:space="preserve"> </w:t>
      </w:r>
      <w:r>
        <w:rPr>
          <w:rFonts w:hint="eastAsia"/>
          <w:sz w:val="24"/>
        </w:rPr>
        <w:t>仲裁费及化验费由由化验结果偏差较大一方承担。</w:t>
      </w:r>
      <w:r>
        <w:rPr>
          <w:sz w:val="24"/>
        </w:rPr>
        <w:t xml:space="preserve">                      </w:t>
      </w:r>
    </w:p>
    <w:p>
      <w:pPr>
        <w:pStyle w:val="5"/>
        <w:numPr>
          <w:ilvl w:val="0"/>
          <w:numId w:val="1"/>
        </w:numPr>
        <w:spacing w:line="440" w:lineRule="exact"/>
        <w:ind w:left="0" w:firstLine="142" w:firstLineChars="0"/>
        <w:jc w:val="left"/>
        <w:rPr>
          <w:sz w:val="24"/>
        </w:rPr>
      </w:pPr>
      <w:r>
        <w:rPr>
          <w:rFonts w:hint="eastAsia"/>
          <w:sz w:val="24"/>
        </w:rPr>
        <w:t>结算方式及期限：供方在招标前缴纳投标保证金壹拾万元整，中标后投标保证金变为履约保证金。供方所供货物以周为单位、开具</w:t>
      </w:r>
      <w:r>
        <w:rPr>
          <w:sz w:val="24"/>
        </w:rPr>
        <w:t>1</w:t>
      </w:r>
      <w:r>
        <w:rPr>
          <w:rFonts w:hint="eastAsia"/>
          <w:sz w:val="24"/>
        </w:rPr>
        <w:t>3</w:t>
      </w:r>
      <w:r>
        <w:rPr>
          <w:sz w:val="24"/>
        </w:rPr>
        <w:t>%</w:t>
      </w:r>
      <w:r>
        <w:rPr>
          <w:rFonts w:hint="eastAsia"/>
          <w:sz w:val="24"/>
        </w:rPr>
        <w:t>增值税专用发票后一月内结算并以银行电子承兑（半年期）付款，</w:t>
      </w:r>
      <w:r>
        <w:rPr>
          <w:sz w:val="24"/>
        </w:rPr>
        <w:t xml:space="preserve"> </w:t>
      </w:r>
      <w:r>
        <w:rPr>
          <w:rFonts w:hint="eastAsia"/>
          <w:sz w:val="24"/>
        </w:rPr>
        <w:t>如果供方提供的发票不合格，需方有权要求供方在七日内重新开具合格发票，在供方提供合格发票前，需方有权拒绝支付剩余货款且不承担违约责任。</w:t>
      </w:r>
      <w:r>
        <w:rPr>
          <w:sz w:val="24"/>
        </w:rPr>
        <w:t xml:space="preserve">                                   </w:t>
      </w:r>
    </w:p>
    <w:p>
      <w:pPr>
        <w:pStyle w:val="5"/>
        <w:numPr>
          <w:ilvl w:val="0"/>
          <w:numId w:val="1"/>
        </w:numPr>
        <w:spacing w:line="440" w:lineRule="exact"/>
        <w:ind w:left="0" w:firstLine="142" w:firstLineChars="0"/>
        <w:jc w:val="left"/>
        <w:rPr>
          <w:sz w:val="24"/>
        </w:rPr>
      </w:pPr>
      <w:r>
        <w:rPr>
          <w:rFonts w:hint="eastAsia"/>
          <w:sz w:val="24"/>
        </w:rPr>
        <w:t xml:space="preserve">违约责任： </w:t>
      </w:r>
    </w:p>
    <w:p>
      <w:pPr>
        <w:pStyle w:val="5"/>
        <w:numPr>
          <w:ilvl w:val="0"/>
          <w:numId w:val="2"/>
        </w:numPr>
        <w:spacing w:line="440" w:lineRule="exact"/>
        <w:ind w:firstLineChars="0"/>
        <w:jc w:val="left"/>
        <w:rPr>
          <w:sz w:val="24"/>
        </w:rPr>
      </w:pPr>
      <w:r>
        <w:rPr>
          <w:rFonts w:hint="eastAsia"/>
          <w:sz w:val="24"/>
        </w:rPr>
        <w:t>供方自签订合同之日起3天内具备送货条件，按需方通知,均匀送货，需方会定期或者不定期进行采购招标，供方在供货期间必须保证需方货仓70%以上库存。如因为中标方未及时供货影响需方生产扣除全部保证金，如因为中标方供货质量问题扣除保证金1万元/次。</w:t>
      </w:r>
    </w:p>
    <w:p>
      <w:pPr>
        <w:spacing w:line="46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2、若一方违约，违约方承担造成的一切损失。供方必须保证货物及发票的真实有效合法性，否则由此引起的一切经济法律责任均由供方承担，与需方无关。</w:t>
      </w:r>
    </w:p>
    <w:p>
      <w:pPr>
        <w:pStyle w:val="6"/>
        <w:spacing w:line="44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3、如供方出现弄虚作假、偷税、漏税或虚开增值税票等违法行为,由供方承担一切法律责任并赔偿给需方造成的一切损失。</w:t>
      </w:r>
    </w:p>
    <w:p>
      <w:pPr>
        <w:pStyle w:val="5"/>
        <w:spacing w:line="440" w:lineRule="exact"/>
        <w:ind w:firstLine="240" w:firstLineChars="100"/>
        <w:jc w:val="left"/>
        <w:rPr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bCs/>
          <w:sz w:val="24"/>
        </w:rPr>
        <w:t>、</w:t>
      </w:r>
      <w:r>
        <w:rPr>
          <w:rFonts w:hint="eastAsia"/>
          <w:bCs/>
          <w:sz w:val="24"/>
        </w:rPr>
        <w:t>供方未按期到货的，每延迟一天支付合同总金额</w:t>
      </w:r>
      <w:r>
        <w:rPr>
          <w:bCs/>
          <w:sz w:val="24"/>
        </w:rPr>
        <w:t>5‰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，超过三天的需方有权利单方面解除合同，供方</w:t>
      </w:r>
      <w:r>
        <w:rPr>
          <w:bCs/>
          <w:sz w:val="24"/>
        </w:rPr>
        <w:t>支付</w:t>
      </w:r>
      <w:r>
        <w:rPr>
          <w:rFonts w:hint="eastAsia"/>
          <w:bCs/>
          <w:sz w:val="24"/>
        </w:rPr>
        <w:t>合同总金额30%的违约金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。</w:t>
      </w:r>
      <w:r>
        <w:rPr>
          <w:sz w:val="24"/>
        </w:rPr>
        <w:t xml:space="preserve">                                         </w:t>
      </w:r>
    </w:p>
    <w:p>
      <w:pPr>
        <w:pStyle w:val="5"/>
        <w:numPr>
          <w:ilvl w:val="0"/>
          <w:numId w:val="1"/>
        </w:numPr>
        <w:spacing w:line="440" w:lineRule="exact"/>
        <w:ind w:left="0" w:firstLine="142" w:firstLineChars="0"/>
        <w:jc w:val="left"/>
        <w:rPr>
          <w:sz w:val="24"/>
        </w:rPr>
      </w:pPr>
      <w:r>
        <w:rPr>
          <w:rFonts w:hint="eastAsia"/>
          <w:sz w:val="24"/>
        </w:rPr>
        <w:t>供，需双方履行合同，发生纠纷时，应本着顾全大局，相互谅解的精神及时协商解决，协商不成时到合同签订地法院裁决，合同注明的联系电话、地址应为有效的联系电话、送达地址。双方以电话方式、微信、短信通知的，电话记录载明的时间视为送达时间。双方通过邮政特快专递以书面形式将任何通知（函件）寄送下述地址，自寄出第3日（根据地址远近）即视为必然已通知对方。若更换联系人、联系电话、地址须于变更后1日内通知对方，并得到对方书面认可，如未通知对方或者未经对方书面确认的，视为未变更。</w:t>
      </w:r>
      <w:r>
        <w:rPr>
          <w:sz w:val="24"/>
        </w:rPr>
        <w:t xml:space="preserve">  </w:t>
      </w:r>
    </w:p>
    <w:p>
      <w:pPr>
        <w:pStyle w:val="5"/>
        <w:numPr>
          <w:ilvl w:val="0"/>
          <w:numId w:val="1"/>
        </w:numPr>
        <w:spacing w:line="440" w:lineRule="exact"/>
        <w:ind w:left="0" w:firstLine="142" w:firstLineChars="0"/>
        <w:jc w:val="left"/>
        <w:rPr>
          <w:sz w:val="24"/>
        </w:rPr>
      </w:pPr>
      <w:r>
        <w:rPr>
          <w:rFonts w:hint="eastAsia"/>
          <w:sz w:val="24"/>
        </w:rPr>
        <w:t>合同有效期：本合同有效期为202</w:t>
      </w:r>
      <w:r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日至202</w:t>
      </w:r>
      <w:r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日。</w:t>
      </w:r>
      <w:r>
        <w:rPr>
          <w:sz w:val="24"/>
        </w:rPr>
        <w:t xml:space="preserve">                                  </w:t>
      </w:r>
    </w:p>
    <w:p>
      <w:pPr>
        <w:pStyle w:val="5"/>
        <w:numPr>
          <w:ilvl w:val="0"/>
          <w:numId w:val="1"/>
        </w:numPr>
        <w:spacing w:line="440" w:lineRule="exact"/>
        <w:ind w:left="142" w:firstLine="0" w:firstLineChars="0"/>
        <w:jc w:val="left"/>
        <w:rPr>
          <w:sz w:val="24"/>
        </w:rPr>
      </w:pPr>
      <w:r>
        <w:rPr>
          <w:rFonts w:hint="eastAsia"/>
          <w:sz w:val="24"/>
        </w:rPr>
        <w:t>本合同一式陆份，需方肆分，供方贰分，本合同经双方法定代表人或委托代理人签字且盖章后生效。本合同同传真件和原件具有同等法律效力。</w:t>
      </w:r>
    </w:p>
    <w:tbl>
      <w:tblPr>
        <w:tblStyle w:val="3"/>
        <w:tblpPr w:leftFromText="180" w:rightFromText="180" w:vertAnchor="text" w:horzAnchor="page" w:tblpX="1097" w:tblpY="488"/>
        <w:tblOverlap w:val="never"/>
        <w:tblW w:w="9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3"/>
        <w:gridCol w:w="4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exact"/>
        </w:trPr>
        <w:tc>
          <w:tcPr>
            <w:tcW w:w="4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left="1418" w:firstLine="632" w:firstLineChars="3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供方</w:t>
            </w:r>
          </w:p>
          <w:p>
            <w:pPr>
              <w:pStyle w:val="2"/>
              <w:rPr>
                <w:szCs w:val="21"/>
                <w:u w:val="none"/>
              </w:rPr>
            </w:pPr>
          </w:p>
        </w:tc>
        <w:tc>
          <w:tcPr>
            <w:tcW w:w="4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需方</w:t>
            </w: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单位名称：岷山环能高科股份公司 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税 号：91410500172472573E</w:t>
            </w:r>
          </w:p>
          <w:p>
            <w:pPr>
              <w:ind w:left="1265" w:hanging="1265" w:hangingChars="6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地址 ：河南省安阳市龙安区太行路与龙康大道交叉口西200米路北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电话：0372-2727082</w:t>
            </w:r>
          </w:p>
          <w:p>
            <w:pPr>
              <w:pStyle w:val="2"/>
              <w:rPr>
                <w:rFonts w:hAnsi="宋体" w:cs="宋体"/>
                <w:b/>
                <w:bCs/>
                <w:szCs w:val="21"/>
                <w:u w:val="none"/>
              </w:rPr>
            </w:pPr>
            <w:r>
              <w:rPr>
                <w:rFonts w:hint="eastAsia" w:hAnsi="宋体" w:cs="宋体"/>
                <w:b/>
                <w:bCs/>
                <w:szCs w:val="21"/>
                <w:u w:val="none"/>
              </w:rPr>
              <w:t>开户行：河南安阳商都农村商业银行股份有限公司</w:t>
            </w: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账号：00000000000931922012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法定代表人：何秋安   </w:t>
            </w:r>
          </w:p>
          <w:p>
            <w:pPr>
              <w:snapToGrid w:val="0"/>
              <w:spacing w:line="36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委托代理人：</w:t>
            </w:r>
          </w:p>
          <w:p>
            <w:pPr>
              <w:pStyle w:val="2"/>
              <w:rPr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  <w:u w:val="none"/>
              </w:rPr>
              <w:t>合同签字盖章时间：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6182A"/>
    <w:multiLevelType w:val="multilevel"/>
    <w:tmpl w:val="0316182A"/>
    <w:lvl w:ilvl="0" w:tentative="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E3E6CBE"/>
    <w:multiLevelType w:val="multilevel"/>
    <w:tmpl w:val="1E3E6CBE"/>
    <w:lvl w:ilvl="0" w:tentative="0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MTJkMTUyOWE0ODBkMmViNjg5MWUzMzJhNTFkNWYifQ=="/>
  </w:docVars>
  <w:rsids>
    <w:rsidRoot w:val="00000000"/>
    <w:rsid w:val="3380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"/>
      <w:u w:val="single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  <w:rPr>
      <w:szCs w:val="24"/>
    </w:rPr>
  </w:style>
  <w:style w:type="paragraph" w:customStyle="1" w:styleId="6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2023-04-28T07:00:26Z</dcterms:created>
  <dc:creator>86152</dc:creator>
  <cp:lastModifiedBy>斧头</cp:lastModifiedBy>
  <dcterms:modified xsi:type="dcterms:W3CDTF">2023-04-28T07:00:37Z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6B809CB33A3B49D5A9F0FE475CA11290_12</vt:lpwstr>
  </property>
</Properties>
</file>